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Ind w:w="-252" w:type="dxa"/>
        <w:tblLayout w:type="fixed"/>
        <w:tblLook w:val="0000" w:firstRow="0" w:lastRow="0" w:firstColumn="0" w:lastColumn="0" w:noHBand="0" w:noVBand="0"/>
      </w:tblPr>
      <w:tblGrid>
        <w:gridCol w:w="2061"/>
        <w:gridCol w:w="6804"/>
        <w:gridCol w:w="1485"/>
      </w:tblGrid>
      <w:tr>
        <w:trPr>
          <w:cantSplit/>
          <w:trHeight w:val="851"/>
        </w:trPr>
        <w:tc>
          <w:tcPr>
            <w:tcW w:w="2061" w:type="dxa"/>
          </w:tcPr>
          <w:p>
            <w:pPr>
              <w:jc w:val="center"/>
              <w:rPr>
                <w:rFonts w:ascii="Arial" w:hAnsi="Arial"/>
                <w:lang w:val="fr-FR"/>
              </w:rPr>
            </w:pPr>
          </w:p>
        </w:tc>
        <w:tc>
          <w:tcPr>
            <w:tcW w:w="6804" w:type="dxa"/>
          </w:tcPr>
          <w:p>
            <w:pPr>
              <w:spacing w:before="120"/>
              <w:jc w:val="center"/>
              <w:rPr>
                <w:rFonts w:ascii="Arial" w:hAnsi="Arial"/>
                <w:sz w:val="36"/>
                <w:szCs w:val="36"/>
                <w:lang w:val="fr-FR"/>
              </w:rPr>
            </w:pPr>
            <w:r>
              <w:rPr>
                <w:rFonts w:ascii="Arial" w:hAnsi="Arial"/>
                <w:b/>
                <w:sz w:val="36"/>
                <w:szCs w:val="36"/>
                <w:lang w:val="fr-FR"/>
              </w:rPr>
              <w:t>Supplément au certificat Europass</w:t>
            </w:r>
            <w:r>
              <w:rPr>
                <w:rFonts w:ascii="Arial" w:hAnsi="Arial"/>
                <w:sz w:val="36"/>
                <w:szCs w:val="36"/>
                <w:vertAlign w:val="superscript"/>
                <w:lang w:val="fr-FR"/>
              </w:rPr>
              <w:t>(*)</w:t>
            </w:r>
          </w:p>
        </w:tc>
        <w:bookmarkStart w:id="0" w:name="_MON_1237812174"/>
        <w:bookmarkEnd w:id="0"/>
        <w:tc>
          <w:tcPr>
            <w:tcW w:w="1485" w:type="dxa"/>
          </w:tcPr>
          <w:p>
            <w:pPr>
              <w:jc w:val="center"/>
              <w:rPr>
                <w:bCs/>
                <w:lang w:val="fr-FR"/>
              </w:rPr>
            </w:pPr>
            <w:r>
              <w:rPr>
                <w:rFonts w:ascii="Arial" w:hAnsi="Arial"/>
                <w:sz w:val="16"/>
              </w:rPr>
              <w:object w:dxaOrig="931"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pt;height:40.9pt" o:ole="">
                  <v:imagedata r:id="rId8" o:title=""/>
                </v:shape>
                <o:OLEObject Type="Embed" ProgID="Word.Picture.8" ShapeID="_x0000_i1025" DrawAspect="Content" ObjectID="_1543940579" r:id="rId9"/>
              </w:object>
            </w:r>
          </w:p>
          <w:p>
            <w:pPr>
              <w:jc w:val="center"/>
              <w:rPr>
                <w:bCs/>
                <w:lang w:val="fr-FR"/>
              </w:rPr>
            </w:pPr>
            <w:r>
              <w:rPr>
                <w:bCs/>
                <w:lang w:val="fr-FR"/>
              </w:rPr>
              <w:t>Belgique</w:t>
            </w:r>
          </w:p>
        </w:tc>
      </w:tr>
    </w:tbl>
    <w:p>
      <w:pPr>
        <w:rPr>
          <w:rFonts w:ascii="Arial" w:hAnsi="Arial"/>
          <w:sz w:val="18"/>
          <w:lang w:val="fr-FR"/>
        </w:rPr>
      </w:pPr>
      <w:r>
        <w:rPr>
          <w:rFonts w:ascii="Arial" w:hAnsi="Arial"/>
          <w:noProof/>
          <w:lang w:val="fr-BE" w:eastAsia="fr-BE"/>
        </w:rPr>
        <w:drawing>
          <wp:anchor distT="0" distB="0" distL="0" distR="0" simplePos="0" relativeHeight="251657728" behindDoc="0" locked="0" layoutInCell="1" allowOverlap="1">
            <wp:simplePos x="0" y="0"/>
            <wp:positionH relativeFrom="column">
              <wp:posOffset>4671060</wp:posOffset>
            </wp:positionH>
            <wp:positionV relativeFrom="paragraph">
              <wp:posOffset>203835</wp:posOffset>
            </wp:positionV>
            <wp:extent cx="1316355" cy="377825"/>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316355" cy="377825"/>
                    </a:xfrm>
                    <a:prstGeom prst="rect">
                      <a:avLst/>
                    </a:prstGeom>
                    <a:solidFill>
                      <a:srgbClr val="FFFFFF">
                        <a:alpha val="0"/>
                      </a:srgbClr>
                    </a:solidFill>
                    <a:ln w="9525">
                      <a:noFill/>
                      <a:miter lim="800000"/>
                      <a:headEnd/>
                      <a:tailEnd/>
                    </a:ln>
                  </pic:spPr>
                </pic:pic>
              </a:graphicData>
            </a:graphic>
          </wp:anchor>
        </w:drawing>
      </w:r>
      <w:r>
        <w:rPr>
          <w:rFonts w:ascii="Arial" w:hAnsi="Arial" w:cs="Arial"/>
          <w:noProof/>
          <w:sz w:val="22"/>
          <w:szCs w:val="22"/>
          <w:lang w:val="fr-BE" w:eastAsia="fr-BE"/>
        </w:rPr>
        <w:drawing>
          <wp:inline distT="0" distB="0" distL="0" distR="0">
            <wp:extent cx="828675" cy="847725"/>
            <wp:effectExtent l="19050" t="0" r="9525" b="0"/>
            <wp:docPr id="2" name="Image 2" descr="cid:image001.jpg@01CCBB3C.E77BB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CCBB3C.E77BBDA0"/>
                    <pic:cNvPicPr>
                      <a:picLocks noChangeAspect="1" noChangeArrowheads="1"/>
                    </pic:cNvPicPr>
                  </pic:nvPicPr>
                  <pic:blipFill>
                    <a:blip r:embed="rId11" r:link="rId12" cstate="print"/>
                    <a:srcRect/>
                    <a:stretch>
                      <a:fillRect/>
                    </a:stretch>
                  </pic:blipFill>
                  <pic:spPr bwMode="auto">
                    <a:xfrm>
                      <a:off x="0" y="0"/>
                      <a:ext cx="828675" cy="847725"/>
                    </a:xfrm>
                    <a:prstGeom prst="rect">
                      <a:avLst/>
                    </a:prstGeom>
                    <a:noFill/>
                    <a:ln w="9525">
                      <a:noFill/>
                      <a:miter lim="800000"/>
                      <a:headEnd/>
                      <a:tailEnd/>
                    </a:ln>
                  </pic:spPr>
                </pic:pic>
              </a:graphicData>
            </a:graphic>
          </wp:inline>
        </w:drawing>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noProof/>
          <w:lang w:val="fr-BE" w:eastAsia="fr-BE"/>
        </w:rPr>
        <w:drawing>
          <wp:inline distT="0" distB="0" distL="0" distR="0">
            <wp:extent cx="904875" cy="800100"/>
            <wp:effectExtent l="19050" t="0" r="9525" b="0"/>
            <wp:docPr id="3" name="Image 3" descr="logo promotion soc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omotion sociale"/>
                    <pic:cNvPicPr>
                      <a:picLocks noChangeAspect="1" noChangeArrowheads="1"/>
                    </pic:cNvPicPr>
                  </pic:nvPicPr>
                  <pic:blipFill>
                    <a:blip r:embed="rId13" cstate="print"/>
                    <a:srcRect/>
                    <a:stretch>
                      <a:fillRect/>
                    </a:stretch>
                  </pic:blipFill>
                  <pic:spPr bwMode="auto">
                    <a:xfrm>
                      <a:off x="0" y="0"/>
                      <a:ext cx="904875" cy="800100"/>
                    </a:xfrm>
                    <a:prstGeom prst="rect">
                      <a:avLst/>
                    </a:prstGeom>
                    <a:noFill/>
                    <a:ln w="9525">
                      <a:noFill/>
                      <a:miter lim="800000"/>
                      <a:headEnd/>
                      <a:tailEnd/>
                    </a:ln>
                  </pic:spPr>
                </pic:pic>
              </a:graphicData>
            </a:graphic>
          </wp:inline>
        </w:drawing>
      </w:r>
    </w:p>
    <w:p>
      <w:pPr>
        <w:jc w:val="center"/>
        <w:rPr>
          <w:rFonts w:ascii="Arial" w:hAnsi="Arial"/>
          <w:sz w:val="18"/>
          <w:lang w:val="fr-FR"/>
        </w:rPr>
      </w:pPr>
    </w:p>
    <w:tbl>
      <w:tblPr>
        <w:tblW w:w="10350" w:type="dxa"/>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tc>
          <w:tcPr>
            <w:tcW w:w="10350" w:type="dxa"/>
          </w:tcPr>
          <w:p>
            <w:pPr>
              <w:spacing w:before="20" w:after="20"/>
              <w:jc w:val="center"/>
              <w:rPr>
                <w:rFonts w:ascii="Arial" w:hAnsi="Arial"/>
                <w:sz w:val="24"/>
                <w:lang w:val="fr-FR"/>
              </w:rPr>
            </w:pPr>
            <w:r>
              <w:rPr>
                <w:rFonts w:ascii="Arial" w:hAnsi="Arial"/>
                <w:sz w:val="24"/>
                <w:szCs w:val="24"/>
                <w:lang w:val="fr-FR"/>
              </w:rPr>
              <w:t xml:space="preserve">1. </w:t>
            </w:r>
            <w:r>
              <w:rPr>
                <w:rFonts w:ascii="Arial" w:hAnsi="Arial"/>
                <w:sz w:val="22"/>
                <w:szCs w:val="22"/>
                <w:lang w:val="fr-FR"/>
              </w:rPr>
              <w:t>Intitulé du certificat</w:t>
            </w:r>
            <w:r>
              <w:rPr>
                <w:rStyle w:val="Appelnotedebasdep"/>
                <w:rFonts w:ascii="Arial" w:hAnsi="Arial"/>
                <w:sz w:val="22"/>
                <w:szCs w:val="22"/>
                <w:lang w:val="fr-FR"/>
              </w:rPr>
              <w:footnoteReference w:id="1"/>
            </w:r>
          </w:p>
        </w:tc>
      </w:tr>
      <w:tr>
        <w:trPr>
          <w:cantSplit/>
          <w:trHeight w:val="345"/>
        </w:trPr>
        <w:tc>
          <w:tcPr>
            <w:tcW w:w="10350" w:type="dxa"/>
          </w:tcPr>
          <w:p>
            <w:pPr>
              <w:spacing w:before="60" w:after="60"/>
              <w:jc w:val="center"/>
              <w:rPr>
                <w:rFonts w:ascii="Arial" w:hAnsi="Arial"/>
                <w:b/>
                <w:sz w:val="24"/>
                <w:lang w:val="fr-FR"/>
              </w:rPr>
            </w:pPr>
            <w:r>
              <w:rPr>
                <w:rFonts w:ascii="Arial" w:hAnsi="Arial"/>
                <w:b/>
                <w:sz w:val="24"/>
                <w:lang w:val="fr-FR"/>
              </w:rPr>
              <w:t>TECHNICIEN EN COMPTABILITE</w:t>
            </w:r>
          </w:p>
        </w:tc>
      </w:tr>
    </w:tbl>
    <w:p>
      <w:pPr>
        <w:jc w:val="center"/>
        <w:rPr>
          <w:rFonts w:ascii="Arial" w:hAnsi="Arial"/>
          <w:sz w:val="18"/>
          <w:lang w:val="fr-FR"/>
        </w:rPr>
      </w:pPr>
    </w:p>
    <w:tbl>
      <w:tblPr>
        <w:tblW w:w="10350" w:type="dxa"/>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tc>
          <w:tcPr>
            <w:tcW w:w="10350" w:type="dxa"/>
          </w:tcPr>
          <w:p>
            <w:pPr>
              <w:spacing w:before="20" w:after="20"/>
              <w:jc w:val="center"/>
              <w:rPr>
                <w:rFonts w:ascii="Arial" w:hAnsi="Arial"/>
                <w:sz w:val="22"/>
                <w:lang w:val="fr-FR"/>
              </w:rPr>
            </w:pPr>
            <w:r>
              <w:rPr>
                <w:rFonts w:ascii="Arial" w:hAnsi="Arial"/>
                <w:b/>
                <w:sz w:val="22"/>
                <w:lang w:val="fr-FR"/>
              </w:rPr>
              <w:t xml:space="preserve"> </w:t>
            </w:r>
            <w:r>
              <w:rPr>
                <w:rFonts w:ascii="Arial" w:hAnsi="Arial"/>
                <w:sz w:val="22"/>
                <w:lang w:val="fr-FR"/>
              </w:rPr>
              <w:t>2. Traduction de l’intitulé du certificat</w:t>
            </w:r>
            <w:r>
              <w:rPr>
                <w:rStyle w:val="Appelnotedebasdep"/>
                <w:rFonts w:ascii="Arial" w:hAnsi="Arial"/>
                <w:sz w:val="22"/>
                <w:lang w:val="fr-FR"/>
              </w:rPr>
              <w:footnoteReference w:id="2"/>
            </w:r>
          </w:p>
        </w:tc>
      </w:tr>
      <w:tr>
        <w:trPr>
          <w:trHeight w:val="341"/>
        </w:trPr>
        <w:tc>
          <w:tcPr>
            <w:tcW w:w="10350" w:type="dxa"/>
          </w:tcPr>
          <w:p>
            <w:pPr>
              <w:spacing w:before="60" w:after="60"/>
              <w:jc w:val="center"/>
              <w:rPr>
                <w:rFonts w:ascii="Arial" w:hAnsi="Arial"/>
                <w:b/>
                <w:sz w:val="24"/>
              </w:rPr>
            </w:pPr>
            <w:r>
              <w:rPr>
                <w:rFonts w:ascii="Arial" w:hAnsi="Arial"/>
                <w:b/>
                <w:sz w:val="24"/>
              </w:rPr>
              <w:t>BOEKHOUDKUNDIG BEDIENDE (NL)</w:t>
            </w:r>
          </w:p>
          <w:p>
            <w:pPr>
              <w:spacing w:before="60" w:after="60"/>
              <w:jc w:val="center"/>
              <w:rPr>
                <w:rFonts w:ascii="Arial" w:hAnsi="Arial"/>
                <w:b/>
                <w:sz w:val="24"/>
              </w:rPr>
            </w:pPr>
            <w:r>
              <w:rPr>
                <w:rFonts w:ascii="Arial" w:hAnsi="Arial"/>
                <w:b/>
                <w:sz w:val="24"/>
              </w:rPr>
              <w:t>HILFSBUCHHALTER (DE)</w:t>
            </w:r>
          </w:p>
          <w:p>
            <w:pPr>
              <w:spacing w:before="60" w:after="60"/>
              <w:jc w:val="center"/>
              <w:rPr>
                <w:rFonts w:ascii="Arial" w:hAnsi="Arial"/>
                <w:b/>
                <w:sz w:val="24"/>
                <w:lang w:val="fr-FR"/>
              </w:rPr>
            </w:pPr>
            <w:r>
              <w:rPr>
                <w:rFonts w:ascii="Arial" w:hAnsi="Arial"/>
                <w:b/>
                <w:sz w:val="24"/>
                <w:lang w:val="fr-FR"/>
              </w:rPr>
              <w:t>ACCOUNTANT SPECIALIST (EN)</w:t>
            </w:r>
          </w:p>
        </w:tc>
      </w:tr>
    </w:tbl>
    <w:p>
      <w:pPr>
        <w:jc w:val="center"/>
        <w:rPr>
          <w:rFonts w:ascii="Arial" w:hAnsi="Arial"/>
          <w:sz w:val="18"/>
          <w:lang w:val="fr-FR"/>
        </w:rPr>
      </w:pPr>
    </w:p>
    <w:tbl>
      <w:tblPr>
        <w:tblW w:w="0" w:type="auto"/>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trPr>
          <w:trHeight w:val="267"/>
        </w:trPr>
        <w:tc>
          <w:tcPr>
            <w:tcW w:w="10350" w:type="dxa"/>
          </w:tcPr>
          <w:p>
            <w:pPr>
              <w:spacing w:before="20" w:after="20"/>
              <w:jc w:val="center"/>
              <w:rPr>
                <w:rFonts w:ascii="Arial" w:hAnsi="Arial"/>
                <w:sz w:val="22"/>
                <w:lang w:val="fr-FR"/>
              </w:rPr>
            </w:pPr>
            <w:r>
              <w:rPr>
                <w:rFonts w:ascii="Arial" w:hAnsi="Arial"/>
                <w:sz w:val="22"/>
                <w:lang w:val="fr-FR"/>
              </w:rPr>
              <w:t>3. Eléments de compétences acquis</w:t>
            </w:r>
          </w:p>
        </w:tc>
      </w:tr>
      <w:tr>
        <w:trPr>
          <w:trHeight w:val="1980"/>
        </w:trPr>
        <w:tc>
          <w:tcPr>
            <w:tcW w:w="10350" w:type="dxa"/>
          </w:tcPr>
          <w:p>
            <w:pPr>
              <w:spacing w:before="40" w:after="20"/>
              <w:rPr>
                <w:rFonts w:ascii="Arial" w:hAnsi="Arial" w:cs="Arial"/>
                <w:color w:val="000000"/>
                <w:sz w:val="18"/>
                <w:szCs w:val="18"/>
                <w:lang w:val="fr-BE"/>
              </w:rPr>
            </w:pPr>
            <w:r>
              <w:rPr>
                <w:rFonts w:ascii="Arial" w:hAnsi="Arial" w:cs="Arial"/>
                <w:color w:val="000000"/>
                <w:sz w:val="18"/>
                <w:szCs w:val="18"/>
                <w:lang w:val="fr-BE"/>
              </w:rPr>
              <w:t xml:space="preserve">Le certificat de qualification atteste de la maîtrise des acquis d’apprentissage listés ci-dessous : </w:t>
            </w:r>
          </w:p>
          <w:p>
            <w:pPr>
              <w:numPr>
                <w:ilvl w:val="0"/>
                <w:numId w:val="17"/>
              </w:numPr>
              <w:overflowPunct w:val="0"/>
              <w:autoSpaceDE w:val="0"/>
              <w:autoSpaceDN w:val="0"/>
              <w:adjustRightInd w:val="0"/>
              <w:ind w:left="643" w:hanging="283"/>
              <w:jc w:val="both"/>
              <w:rPr>
                <w:rFonts w:ascii="Arial" w:hAnsi="Arial" w:cs="Arial"/>
                <w:sz w:val="18"/>
                <w:szCs w:val="18"/>
                <w:lang w:val="fr-BE"/>
              </w:rPr>
            </w:pPr>
            <w:r>
              <w:rPr>
                <w:rFonts w:ascii="Arial" w:hAnsi="Arial" w:cs="Arial"/>
                <w:sz w:val="18"/>
                <w:szCs w:val="18"/>
                <w:lang w:val="fr-BE"/>
              </w:rPr>
              <w:t>Traiter les données comptables, les transcrire et les enregistrer selon les procédures définies par la législation et par l’entreprise.</w:t>
            </w:r>
          </w:p>
          <w:p>
            <w:pPr>
              <w:numPr>
                <w:ilvl w:val="0"/>
                <w:numId w:val="17"/>
              </w:numPr>
              <w:overflowPunct w:val="0"/>
              <w:autoSpaceDE w:val="0"/>
              <w:autoSpaceDN w:val="0"/>
              <w:adjustRightInd w:val="0"/>
              <w:ind w:left="643" w:hanging="283"/>
              <w:jc w:val="both"/>
              <w:rPr>
                <w:rFonts w:ascii="Arial" w:hAnsi="Arial" w:cs="Arial"/>
                <w:sz w:val="18"/>
                <w:szCs w:val="18"/>
                <w:lang w:val="fr-BE"/>
              </w:rPr>
            </w:pPr>
            <w:r>
              <w:rPr>
                <w:rFonts w:ascii="Arial" w:hAnsi="Arial" w:cs="Arial"/>
                <w:sz w:val="18"/>
                <w:szCs w:val="18"/>
                <w:lang w:val="fr-BE"/>
              </w:rPr>
              <w:t>Tenir à jour les livres comptables de l’entreprise et communiquer au gestionnaire toute information utile.</w:t>
            </w:r>
          </w:p>
          <w:p>
            <w:pPr>
              <w:numPr>
                <w:ilvl w:val="0"/>
                <w:numId w:val="17"/>
              </w:numPr>
              <w:overflowPunct w:val="0"/>
              <w:autoSpaceDE w:val="0"/>
              <w:autoSpaceDN w:val="0"/>
              <w:adjustRightInd w:val="0"/>
              <w:ind w:left="643" w:hanging="283"/>
              <w:jc w:val="both"/>
              <w:rPr>
                <w:rFonts w:ascii="Arial" w:hAnsi="Arial" w:cs="Arial"/>
                <w:sz w:val="18"/>
                <w:szCs w:val="18"/>
                <w:lang w:val="fr-BE"/>
              </w:rPr>
            </w:pPr>
            <w:r>
              <w:rPr>
                <w:rFonts w:ascii="Arial" w:hAnsi="Arial" w:cs="Arial"/>
                <w:sz w:val="18"/>
                <w:szCs w:val="18"/>
                <w:lang w:val="fr-BE"/>
              </w:rPr>
              <w:t>Assurer la gestion des comptes financiers et gérer les documents comptables y afférents.</w:t>
            </w:r>
          </w:p>
          <w:p>
            <w:pPr>
              <w:numPr>
                <w:ilvl w:val="0"/>
                <w:numId w:val="17"/>
              </w:numPr>
              <w:overflowPunct w:val="0"/>
              <w:autoSpaceDE w:val="0"/>
              <w:autoSpaceDN w:val="0"/>
              <w:adjustRightInd w:val="0"/>
              <w:ind w:left="643" w:hanging="283"/>
              <w:jc w:val="both"/>
              <w:rPr>
                <w:rFonts w:ascii="Arial" w:hAnsi="Arial" w:cs="Arial"/>
                <w:sz w:val="18"/>
                <w:szCs w:val="18"/>
              </w:rPr>
            </w:pPr>
            <w:r>
              <w:rPr>
                <w:rFonts w:ascii="Arial" w:hAnsi="Arial" w:cs="Arial"/>
                <w:sz w:val="18"/>
                <w:szCs w:val="18"/>
              </w:rPr>
              <w:t>Procéder aux inventaires.</w:t>
            </w:r>
          </w:p>
          <w:p>
            <w:pPr>
              <w:numPr>
                <w:ilvl w:val="0"/>
                <w:numId w:val="17"/>
              </w:numPr>
              <w:overflowPunct w:val="0"/>
              <w:autoSpaceDE w:val="0"/>
              <w:autoSpaceDN w:val="0"/>
              <w:adjustRightInd w:val="0"/>
              <w:ind w:left="643" w:hanging="283"/>
              <w:jc w:val="both"/>
              <w:rPr>
                <w:rFonts w:ascii="Arial" w:hAnsi="Arial" w:cs="Arial"/>
                <w:sz w:val="18"/>
                <w:szCs w:val="18"/>
                <w:lang w:val="fr-BE"/>
              </w:rPr>
            </w:pPr>
            <w:r>
              <w:rPr>
                <w:rFonts w:ascii="Arial" w:hAnsi="Arial" w:cs="Arial"/>
                <w:sz w:val="18"/>
                <w:szCs w:val="18"/>
                <w:lang w:val="fr-BE"/>
              </w:rPr>
              <w:t>Préparer les balances comptables, le compte de résultats, le bilan, l’annexe.</w:t>
            </w:r>
          </w:p>
          <w:p>
            <w:pPr>
              <w:numPr>
                <w:ilvl w:val="0"/>
                <w:numId w:val="17"/>
              </w:numPr>
              <w:overflowPunct w:val="0"/>
              <w:autoSpaceDE w:val="0"/>
              <w:autoSpaceDN w:val="0"/>
              <w:adjustRightInd w:val="0"/>
              <w:ind w:left="643" w:hanging="283"/>
              <w:jc w:val="both"/>
              <w:rPr>
                <w:rFonts w:ascii="Arial" w:hAnsi="Arial" w:cs="Arial"/>
                <w:sz w:val="18"/>
                <w:szCs w:val="18"/>
                <w:lang w:val="fr-BE"/>
              </w:rPr>
            </w:pPr>
            <w:r>
              <w:rPr>
                <w:rFonts w:ascii="Arial" w:hAnsi="Arial" w:cs="Arial"/>
                <w:sz w:val="18"/>
                <w:szCs w:val="18"/>
                <w:lang w:val="fr-BE"/>
              </w:rPr>
              <w:t>Préparer les déclarations sociales et fiscales (ONSS, TVA, IPP, ISOC).</w:t>
            </w:r>
          </w:p>
          <w:p>
            <w:pPr>
              <w:numPr>
                <w:ilvl w:val="0"/>
                <w:numId w:val="17"/>
              </w:numPr>
              <w:overflowPunct w:val="0"/>
              <w:autoSpaceDE w:val="0"/>
              <w:autoSpaceDN w:val="0"/>
              <w:adjustRightInd w:val="0"/>
              <w:ind w:left="643" w:hanging="283"/>
              <w:jc w:val="both"/>
              <w:rPr>
                <w:rFonts w:ascii="Arial" w:hAnsi="Arial" w:cs="Arial"/>
                <w:sz w:val="18"/>
                <w:szCs w:val="18"/>
                <w:lang w:val="fr-BE"/>
              </w:rPr>
            </w:pPr>
            <w:r>
              <w:rPr>
                <w:rFonts w:ascii="Arial" w:hAnsi="Arial" w:cs="Arial"/>
                <w:sz w:val="18"/>
                <w:szCs w:val="18"/>
                <w:lang w:val="fr-BE"/>
              </w:rPr>
              <w:t>Réceptionner, indicater, trier et distribuer le courrier entrant.</w:t>
            </w:r>
          </w:p>
          <w:p>
            <w:pPr>
              <w:numPr>
                <w:ilvl w:val="0"/>
                <w:numId w:val="17"/>
              </w:numPr>
              <w:overflowPunct w:val="0"/>
              <w:autoSpaceDE w:val="0"/>
              <w:autoSpaceDN w:val="0"/>
              <w:adjustRightInd w:val="0"/>
              <w:ind w:left="643" w:hanging="283"/>
              <w:jc w:val="both"/>
              <w:rPr>
                <w:rFonts w:ascii="Arial" w:hAnsi="Arial" w:cs="Arial"/>
                <w:sz w:val="18"/>
                <w:szCs w:val="18"/>
                <w:lang w:val="fr-BE"/>
              </w:rPr>
            </w:pPr>
            <w:r>
              <w:rPr>
                <w:rFonts w:ascii="Arial" w:hAnsi="Arial" w:cs="Arial"/>
                <w:sz w:val="18"/>
                <w:szCs w:val="18"/>
                <w:lang w:val="fr-BE"/>
              </w:rPr>
              <w:t>Produire, mettre en page et enregistrer à l’aide de techniques bureautiques les rapports, lettres, mémos,... à destination interne et externe dans l’entreprise.</w:t>
            </w:r>
          </w:p>
          <w:p>
            <w:pPr>
              <w:numPr>
                <w:ilvl w:val="0"/>
                <w:numId w:val="17"/>
              </w:numPr>
              <w:overflowPunct w:val="0"/>
              <w:autoSpaceDE w:val="0"/>
              <w:autoSpaceDN w:val="0"/>
              <w:adjustRightInd w:val="0"/>
              <w:ind w:left="643" w:hanging="283"/>
              <w:jc w:val="both"/>
              <w:rPr>
                <w:rFonts w:ascii="Arial" w:hAnsi="Arial" w:cs="Arial"/>
                <w:sz w:val="18"/>
                <w:szCs w:val="18"/>
                <w:lang w:val="fr-BE"/>
              </w:rPr>
            </w:pPr>
            <w:r>
              <w:rPr>
                <w:rFonts w:ascii="Arial" w:hAnsi="Arial" w:cs="Arial"/>
                <w:sz w:val="18"/>
                <w:szCs w:val="18"/>
                <w:lang w:val="fr-BE"/>
              </w:rPr>
              <w:t>Réceptionner les appels téléphoniques, les filtrer et les orienter vers leur destinataire.</w:t>
            </w:r>
          </w:p>
          <w:p>
            <w:pPr>
              <w:numPr>
                <w:ilvl w:val="0"/>
                <w:numId w:val="17"/>
              </w:numPr>
              <w:overflowPunct w:val="0"/>
              <w:autoSpaceDE w:val="0"/>
              <w:autoSpaceDN w:val="0"/>
              <w:adjustRightInd w:val="0"/>
              <w:ind w:left="643" w:hanging="283"/>
              <w:jc w:val="both"/>
              <w:rPr>
                <w:rFonts w:ascii="Arial" w:hAnsi="Arial" w:cs="Arial"/>
                <w:i/>
                <w:sz w:val="18"/>
                <w:szCs w:val="18"/>
                <w:lang w:val="fr-BE"/>
              </w:rPr>
            </w:pPr>
            <w:r>
              <w:rPr>
                <w:rFonts w:ascii="Arial" w:hAnsi="Arial" w:cs="Arial"/>
                <w:sz w:val="18"/>
                <w:szCs w:val="18"/>
                <w:lang w:val="fr-BE"/>
              </w:rPr>
              <w:t>Accueillir, renseigner et orienter les visiteurs de l’entreprise.</w:t>
            </w:r>
          </w:p>
          <w:p>
            <w:pPr>
              <w:spacing w:before="40" w:after="20"/>
              <w:rPr>
                <w:rFonts w:ascii="Arial" w:hAnsi="Arial"/>
                <w:sz w:val="18"/>
                <w:lang w:val="fr-BE"/>
              </w:rPr>
            </w:pPr>
          </w:p>
          <w:p>
            <w:pPr>
              <w:spacing w:before="40" w:after="20"/>
              <w:rPr>
                <w:rFonts w:ascii="Arial" w:hAnsi="Arial"/>
                <w:sz w:val="18"/>
                <w:lang w:val="fr-FR"/>
              </w:rPr>
            </w:pPr>
          </w:p>
        </w:tc>
      </w:tr>
    </w:tbl>
    <w:p>
      <w:pPr>
        <w:jc w:val="center"/>
        <w:rPr>
          <w:rFonts w:ascii="Arial" w:hAnsi="Arial"/>
          <w:sz w:val="22"/>
          <w:lang w:val="fr-FR"/>
        </w:rPr>
      </w:pPr>
    </w:p>
    <w:p>
      <w:pPr>
        <w:rPr>
          <w:rFonts w:ascii="Arial" w:hAnsi="Arial"/>
          <w:sz w:val="22"/>
          <w:lang w:val="fr-FR"/>
        </w:rPr>
      </w:pPr>
      <w:r>
        <w:rPr>
          <w:rFonts w:ascii="Arial" w:hAnsi="Arial"/>
          <w:sz w:val="22"/>
          <w:lang w:val="fr-FR"/>
        </w:rPr>
        <w:br w:type="page"/>
      </w:r>
    </w:p>
    <w:p>
      <w:pPr>
        <w:jc w:val="center"/>
        <w:rPr>
          <w:rFonts w:ascii="Arial" w:hAnsi="Arial"/>
          <w:sz w:val="22"/>
          <w:lang w:val="fr-FR"/>
        </w:rPr>
      </w:pPr>
    </w:p>
    <w:tbl>
      <w:tblPr>
        <w:tblW w:w="10350" w:type="dxa"/>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tc>
          <w:tcPr>
            <w:tcW w:w="10350" w:type="dxa"/>
          </w:tcPr>
          <w:p>
            <w:pPr>
              <w:spacing w:before="20" w:after="20"/>
              <w:jc w:val="center"/>
              <w:rPr>
                <w:rFonts w:ascii="Arial" w:hAnsi="Arial"/>
                <w:b/>
                <w:sz w:val="22"/>
                <w:lang w:val="fr-FR"/>
              </w:rPr>
            </w:pPr>
            <w:r>
              <w:rPr>
                <w:rFonts w:ascii="Arial" w:hAnsi="Arial"/>
                <w:sz w:val="22"/>
                <w:lang w:val="fr-FR"/>
              </w:rPr>
              <w:t>4. Secteurs d’activité et/ou types d’emplois accessibles par le détenteur du certificat</w:t>
            </w:r>
          </w:p>
        </w:tc>
      </w:tr>
      <w:tr>
        <w:trPr>
          <w:trHeight w:val="939"/>
        </w:trPr>
        <w:tc>
          <w:tcPr>
            <w:tcW w:w="10350" w:type="dxa"/>
          </w:tcPr>
          <w:p>
            <w:pPr>
              <w:ind w:left="284"/>
              <w:jc w:val="both"/>
              <w:rPr>
                <w:rFonts w:ascii="Arial" w:hAnsi="Arial" w:cs="Arial"/>
                <w:sz w:val="18"/>
                <w:szCs w:val="18"/>
                <w:lang w:val="fr-BE"/>
              </w:rPr>
            </w:pPr>
            <w:r>
              <w:rPr>
                <w:rFonts w:ascii="Arial" w:hAnsi="Arial" w:cs="Arial"/>
                <w:sz w:val="18"/>
                <w:szCs w:val="18"/>
                <w:lang w:val="fr-BE"/>
              </w:rPr>
              <w:t>Le technicien en comptabilité</w:t>
            </w:r>
            <w:r>
              <w:rPr>
                <w:rStyle w:val="Appelnotedebasdep"/>
                <w:rFonts w:ascii="Arial" w:hAnsi="Arial" w:cs="Arial"/>
                <w:sz w:val="18"/>
                <w:szCs w:val="18"/>
              </w:rPr>
              <w:footnoteReference w:id="3"/>
            </w:r>
            <w:r>
              <w:rPr>
                <w:rFonts w:ascii="Arial" w:hAnsi="Arial" w:cs="Arial"/>
                <w:sz w:val="18"/>
                <w:szCs w:val="18"/>
                <w:lang w:val="fr-BE"/>
              </w:rPr>
              <w:t xml:space="preserve"> assure les fonctions généralement dévolues à l’employé de comptabilité.</w:t>
            </w:r>
          </w:p>
          <w:p>
            <w:pPr>
              <w:ind w:left="284"/>
              <w:jc w:val="both"/>
              <w:rPr>
                <w:rFonts w:ascii="Arial" w:hAnsi="Arial" w:cs="Arial"/>
                <w:sz w:val="18"/>
                <w:szCs w:val="18"/>
                <w:lang w:val="fr-BE"/>
              </w:rPr>
            </w:pPr>
            <w:r>
              <w:rPr>
                <w:rFonts w:ascii="Arial" w:hAnsi="Arial" w:cs="Arial"/>
                <w:sz w:val="18"/>
                <w:szCs w:val="18"/>
                <w:lang w:val="fr-BE"/>
              </w:rPr>
              <w:t>Il organise son travail en fonction des consignes et des priorités du service ou de la société qui l’emploie.</w:t>
            </w:r>
          </w:p>
          <w:p>
            <w:pPr>
              <w:ind w:left="284"/>
              <w:jc w:val="both"/>
              <w:rPr>
                <w:rFonts w:ascii="Arial" w:hAnsi="Arial" w:cs="Arial"/>
                <w:sz w:val="18"/>
                <w:szCs w:val="18"/>
                <w:lang w:val="fr-BE"/>
              </w:rPr>
            </w:pPr>
            <w:r>
              <w:rPr>
                <w:rFonts w:ascii="Arial" w:hAnsi="Arial" w:cs="Arial"/>
                <w:sz w:val="18"/>
                <w:szCs w:val="18"/>
                <w:lang w:val="fr-BE"/>
              </w:rPr>
              <w:t>Sur le plan des activités comptables, il transcrit et enregistre tout ou en partie des données comptables à partir de pièces justificatives et organise leur classement et leur archivage, en utilisant les techniques informatiques et bureautiques, dans le respect des prescriptions légales.</w:t>
            </w:r>
          </w:p>
          <w:p>
            <w:pPr>
              <w:ind w:left="284"/>
              <w:jc w:val="both"/>
              <w:rPr>
                <w:rFonts w:ascii="Arial" w:hAnsi="Arial" w:cs="Arial"/>
                <w:sz w:val="18"/>
                <w:szCs w:val="18"/>
                <w:lang w:val="fr-BE"/>
              </w:rPr>
            </w:pPr>
            <w:r>
              <w:rPr>
                <w:rFonts w:ascii="Arial" w:hAnsi="Arial" w:cs="Arial"/>
                <w:sz w:val="18"/>
                <w:szCs w:val="18"/>
                <w:lang w:val="fr-BE"/>
              </w:rPr>
              <w:t>Il prépare la rédaction des déclarations à la Sécurité sociale, à la TVA, à l’impôt des personnes physiques et à l’impôt des sociétés, en ce qui concerne les P.M.E.</w:t>
            </w:r>
          </w:p>
          <w:p>
            <w:pPr>
              <w:ind w:left="284"/>
              <w:jc w:val="both"/>
              <w:rPr>
                <w:rFonts w:ascii="Arial" w:hAnsi="Arial" w:cs="Arial"/>
                <w:sz w:val="18"/>
                <w:szCs w:val="18"/>
                <w:lang w:val="fr-BE"/>
              </w:rPr>
            </w:pPr>
            <w:r>
              <w:rPr>
                <w:rFonts w:ascii="Arial" w:hAnsi="Arial" w:cs="Arial"/>
                <w:sz w:val="18"/>
                <w:szCs w:val="18"/>
                <w:lang w:val="fr-BE"/>
              </w:rPr>
              <w:t>Il participe à l’élaboration des documents de fin d’exercice (compte de résultat, bilan, annexes).</w:t>
            </w:r>
          </w:p>
          <w:p>
            <w:pPr>
              <w:ind w:left="284"/>
              <w:jc w:val="both"/>
              <w:rPr>
                <w:rFonts w:ascii="Arial" w:hAnsi="Arial" w:cs="Arial"/>
                <w:sz w:val="18"/>
                <w:szCs w:val="18"/>
                <w:lang w:val="fr-BE"/>
              </w:rPr>
            </w:pPr>
            <w:r>
              <w:rPr>
                <w:rFonts w:ascii="Arial" w:hAnsi="Arial" w:cs="Arial"/>
                <w:sz w:val="18"/>
                <w:szCs w:val="18"/>
                <w:lang w:val="fr-BE"/>
              </w:rPr>
              <w:t>En outre, il accomplit les tâches fondamentales d’un employé de bureau.</w:t>
            </w:r>
          </w:p>
          <w:p>
            <w:pPr>
              <w:ind w:left="284"/>
              <w:jc w:val="both"/>
              <w:rPr>
                <w:rFonts w:ascii="Arial" w:hAnsi="Arial" w:cs="Arial"/>
                <w:sz w:val="18"/>
                <w:szCs w:val="18"/>
                <w:lang w:val="fr-BE"/>
              </w:rPr>
            </w:pPr>
            <w:r>
              <w:rPr>
                <w:rFonts w:ascii="Arial" w:hAnsi="Arial" w:cs="Arial"/>
                <w:sz w:val="18"/>
                <w:szCs w:val="18"/>
                <w:lang w:val="fr-BE"/>
              </w:rPr>
              <w:t>Cette polyvalence et cette flexibilité professionnelle lui permettent de répondre, notamment, aux attentes des petites et moyennes entreprises en matière administrative.</w:t>
            </w:r>
          </w:p>
          <w:p>
            <w:pPr>
              <w:ind w:left="284"/>
              <w:jc w:val="both"/>
              <w:rPr>
                <w:rFonts w:ascii="Arial" w:hAnsi="Arial" w:cs="Arial"/>
                <w:sz w:val="18"/>
                <w:szCs w:val="18"/>
                <w:lang w:val="fr-BE"/>
              </w:rPr>
            </w:pPr>
            <w:r>
              <w:rPr>
                <w:rFonts w:ascii="Arial" w:hAnsi="Arial" w:cs="Arial"/>
                <w:sz w:val="18"/>
                <w:szCs w:val="18"/>
                <w:lang w:val="fr-BE"/>
              </w:rPr>
              <w:t>Sur le plan des techniques de bureau, il assure la gestion du courrier et prend en charge les contacts téléphoniques, l’accueil et l’orientation des visiteurs.</w:t>
            </w:r>
          </w:p>
          <w:p>
            <w:pPr>
              <w:ind w:left="284"/>
              <w:jc w:val="both"/>
              <w:rPr>
                <w:rFonts w:ascii="Arial" w:hAnsi="Arial" w:cs="Arial"/>
                <w:sz w:val="18"/>
                <w:szCs w:val="18"/>
                <w:lang w:val="fr-BE"/>
              </w:rPr>
            </w:pPr>
            <w:r>
              <w:rPr>
                <w:rFonts w:ascii="Arial" w:hAnsi="Arial" w:cs="Arial"/>
                <w:sz w:val="18"/>
                <w:szCs w:val="18"/>
                <w:lang w:val="fr-BE"/>
              </w:rPr>
              <w:t>Il sera employé de comptabilité ou employé de bureau polyvalent dans une moyenne ou une grande entreprise, agent administratif de niveau 2, secrétaire - comptable ou comptable interne auprès d’une PME.</w:t>
            </w:r>
          </w:p>
          <w:p>
            <w:pPr>
              <w:ind w:left="284"/>
              <w:jc w:val="both"/>
              <w:rPr>
                <w:rFonts w:ascii="Arial" w:hAnsi="Arial" w:cs="Arial"/>
                <w:sz w:val="18"/>
                <w:szCs w:val="18"/>
                <w:lang w:val="fr-BE"/>
              </w:rPr>
            </w:pPr>
          </w:p>
          <w:p>
            <w:pPr>
              <w:spacing w:before="40" w:after="20"/>
              <w:rPr>
                <w:rFonts w:ascii="Arial" w:hAnsi="Arial"/>
                <w:sz w:val="18"/>
                <w:lang w:val="fr-BE"/>
              </w:rPr>
            </w:pPr>
          </w:p>
        </w:tc>
      </w:tr>
    </w:tbl>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tbl>
      <w:tblPr>
        <w:tblpPr w:leftFromText="141" w:rightFromText="141" w:vertAnchor="text" w:horzAnchor="margin" w:tblpX="-176" w:tblpY="1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4"/>
      </w:tblGrid>
      <w:tr>
        <w:tc>
          <w:tcPr>
            <w:tcW w:w="10314" w:type="dxa"/>
          </w:tcPr>
          <w:p>
            <w:pPr>
              <w:pStyle w:val="Corpsdetexte"/>
              <w:spacing w:before="40" w:after="40"/>
              <w:jc w:val="left"/>
              <w:rPr>
                <w:rFonts w:ascii="Arial" w:hAnsi="Arial"/>
                <w:sz w:val="18"/>
                <w:szCs w:val="18"/>
                <w:lang w:val="fr-FR"/>
              </w:rPr>
            </w:pPr>
            <w:r>
              <w:rPr>
                <w:rFonts w:ascii="Arial" w:hAnsi="Arial"/>
                <w:sz w:val="18"/>
                <w:szCs w:val="18"/>
                <w:vertAlign w:val="superscript"/>
                <w:lang w:val="fr-FR"/>
              </w:rPr>
              <w:t xml:space="preserve">(*) </w:t>
            </w:r>
            <w:r>
              <w:rPr>
                <w:rFonts w:ascii="Arial" w:hAnsi="Arial"/>
                <w:sz w:val="18"/>
                <w:szCs w:val="18"/>
                <w:lang w:val="fr-FR"/>
              </w:rPr>
              <w:t>Note explicative</w:t>
            </w:r>
          </w:p>
          <w:p>
            <w:pPr>
              <w:spacing w:before="20" w:after="40"/>
              <w:rPr>
                <w:rFonts w:ascii="Arial" w:hAnsi="Arial"/>
                <w:sz w:val="16"/>
                <w:lang w:val="fr-FR"/>
              </w:rPr>
            </w:pPr>
            <w:r>
              <w:rPr>
                <w:rFonts w:ascii="Arial" w:hAnsi="Arial"/>
                <w:sz w:val="16"/>
                <w:lang w:val="fr-FR"/>
              </w:rPr>
              <w:t>Ce document vise à compléter l’information figurant sur le certificat/titre/diplôme. Le supplément descriptif du certificat n’a aucune valeur légale. Le format adopté est conforme à la Résolution 93/C 49/01 du Conseil du 3 décembre 1992 concernant la transparence des qualifications, à la Résolution 96/C 224/04 du Conseil du 15 juillet 1996 sur la transparence des certificats de formation professionnelle, ainsi qu’à la Recommandation 2001/613/CE du Parlement européen et du Conseil du 10 juillet 2001 relative à la mobilité dans la Communauté des étudiants, des personnes en formation, des volontaires, des enseignants et des formateurs.</w:t>
            </w:r>
          </w:p>
          <w:p>
            <w:pPr>
              <w:spacing w:before="20" w:after="40"/>
              <w:rPr>
                <w:rFonts w:ascii="Arial" w:hAnsi="Arial"/>
                <w:sz w:val="16"/>
                <w:lang w:val="fr-FR"/>
              </w:rPr>
            </w:pPr>
            <w:r>
              <w:rPr>
                <w:rFonts w:ascii="Arial" w:hAnsi="Arial"/>
                <w:sz w:val="16"/>
                <w:lang w:val="fr-FR"/>
              </w:rPr>
              <w:t>© Union européenne, 2002-2014 | http://europass.cedefop.europa.eu</w:t>
            </w:r>
          </w:p>
        </w:tc>
      </w:tr>
    </w:tbl>
    <w:p>
      <w:pPr>
        <w:jc w:val="center"/>
        <w:rPr>
          <w:rFonts w:ascii="Arial" w:hAnsi="Arial"/>
          <w:sz w:val="18"/>
          <w:lang w:val="fr-FR"/>
        </w:rPr>
      </w:pPr>
      <w:r>
        <w:rPr>
          <w:rFonts w:ascii="Arial" w:hAnsi="Arial"/>
          <w:sz w:val="18"/>
          <w:lang w:val="fr-FR"/>
        </w:rPr>
        <w:br w:type="page"/>
      </w:r>
    </w:p>
    <w:tbl>
      <w:tblPr>
        <w:tblW w:w="0" w:type="auto"/>
        <w:tblInd w:w="-25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472"/>
        <w:gridCol w:w="4878"/>
      </w:tblGrid>
      <w:tr>
        <w:trPr>
          <w:cantSplit/>
          <w:trHeight w:val="194"/>
        </w:trPr>
        <w:tc>
          <w:tcPr>
            <w:tcW w:w="10350" w:type="dxa"/>
            <w:gridSpan w:val="2"/>
            <w:tcBorders>
              <w:top w:val="double" w:sz="4" w:space="0" w:color="auto"/>
              <w:bottom w:val="single"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lastRenderedPageBreak/>
              <w:t>5. Base officielle du certificat</w:t>
            </w:r>
          </w:p>
        </w:tc>
      </w:tr>
      <w:tr>
        <w:trPr>
          <w:trHeight w:val="1563"/>
        </w:trPr>
        <w:tc>
          <w:tcPr>
            <w:tcW w:w="5472" w:type="dxa"/>
            <w:tcBorders>
              <w:top w:val="single" w:sz="4" w:space="0" w:color="auto"/>
              <w:bottom w:val="single" w:sz="4" w:space="0" w:color="auto"/>
            </w:tcBorders>
          </w:tcPr>
          <w:p>
            <w:pPr>
              <w:spacing w:before="40" w:after="40"/>
              <w:rPr>
                <w:rFonts w:ascii="Arial" w:hAnsi="Arial" w:cs="Arial"/>
                <w:b/>
                <w:sz w:val="16"/>
                <w:szCs w:val="16"/>
                <w:lang w:val="fr-FR"/>
              </w:rPr>
            </w:pPr>
            <w:r>
              <w:rPr>
                <w:rFonts w:ascii="Arial" w:hAnsi="Arial" w:cs="Arial"/>
                <w:b/>
                <w:sz w:val="16"/>
                <w:szCs w:val="16"/>
                <w:lang w:val="fr-FR"/>
              </w:rPr>
              <w:t>Nom et statut de l’organisme certificateur</w:t>
            </w:r>
          </w:p>
          <w:p>
            <w:pPr>
              <w:rPr>
                <w:rFonts w:ascii="Arial" w:hAnsi="Arial" w:cs="Arial"/>
                <w:sz w:val="16"/>
                <w:szCs w:val="16"/>
                <w:lang w:val="fr-FR"/>
              </w:rPr>
            </w:pPr>
            <w:r>
              <w:rPr>
                <w:rFonts w:ascii="Arial" w:hAnsi="Arial" w:cs="Arial"/>
                <w:sz w:val="16"/>
                <w:szCs w:val="16"/>
                <w:lang w:val="fr-FR"/>
              </w:rPr>
              <w:t>(nom)</w:t>
            </w:r>
          </w:p>
          <w:p>
            <w:pPr>
              <w:rPr>
                <w:rFonts w:ascii="Arial" w:hAnsi="Arial" w:cs="Arial"/>
                <w:sz w:val="16"/>
                <w:szCs w:val="16"/>
                <w:lang w:val="fr-FR"/>
              </w:rPr>
            </w:pPr>
            <w:r>
              <w:rPr>
                <w:rFonts w:ascii="Arial" w:hAnsi="Arial" w:cs="Arial"/>
                <w:sz w:val="16"/>
                <w:szCs w:val="16"/>
                <w:lang w:val="fr-FR"/>
              </w:rPr>
              <w:t>(adresse)</w:t>
            </w:r>
          </w:p>
          <w:p>
            <w:pPr>
              <w:rPr>
                <w:rFonts w:ascii="Arial" w:hAnsi="Arial" w:cs="Arial"/>
                <w:sz w:val="16"/>
                <w:szCs w:val="16"/>
                <w:lang w:val="fr-FR"/>
              </w:rPr>
            </w:pPr>
            <w:r>
              <w:rPr>
                <w:rFonts w:ascii="Arial" w:hAnsi="Arial" w:cs="Arial"/>
                <w:sz w:val="16"/>
                <w:szCs w:val="16"/>
                <w:lang w:val="fr-FR"/>
              </w:rPr>
              <w:t>B- CP – COMMUNE</w:t>
            </w:r>
          </w:p>
          <w:p>
            <w:pPr>
              <w:rPr>
                <w:rFonts w:ascii="Arial" w:hAnsi="Arial" w:cs="Arial"/>
                <w:sz w:val="16"/>
                <w:szCs w:val="16"/>
                <w:lang w:val="fr-FR"/>
              </w:rPr>
            </w:pPr>
            <w:r>
              <w:rPr>
                <w:rFonts w:ascii="Arial" w:hAnsi="Arial" w:cs="Arial"/>
                <w:sz w:val="16"/>
                <w:szCs w:val="16"/>
                <w:lang w:val="fr-FR"/>
              </w:rPr>
              <w:t>Tél.</w:t>
            </w:r>
          </w:p>
          <w:p>
            <w:pPr>
              <w:rPr>
                <w:rFonts w:ascii="Arial" w:hAnsi="Arial" w:cs="Arial"/>
                <w:sz w:val="16"/>
                <w:szCs w:val="16"/>
                <w:lang w:val="fr-FR"/>
              </w:rPr>
            </w:pPr>
            <w:r>
              <w:rPr>
                <w:rFonts w:ascii="Arial" w:hAnsi="Arial" w:cs="Arial"/>
                <w:sz w:val="16"/>
                <w:szCs w:val="16"/>
                <w:lang w:val="fr-FR"/>
              </w:rPr>
              <w:t>Site WEB :</w:t>
            </w:r>
          </w:p>
          <w:p>
            <w:pPr>
              <w:rPr>
                <w:rFonts w:ascii="Arial" w:hAnsi="Arial" w:cs="Arial"/>
                <w:sz w:val="16"/>
                <w:szCs w:val="16"/>
                <w:lang w:val="fr-FR"/>
              </w:rPr>
            </w:pPr>
          </w:p>
          <w:p>
            <w:pPr>
              <w:rPr>
                <w:rFonts w:ascii="Arial" w:hAnsi="Arial" w:cs="Arial"/>
                <w:sz w:val="16"/>
                <w:szCs w:val="16"/>
                <w:lang w:val="fr-FR"/>
              </w:rPr>
            </w:pPr>
            <w:r>
              <w:rPr>
                <w:rFonts w:ascii="Arial" w:hAnsi="Arial" w:cs="Arial"/>
                <w:sz w:val="16"/>
                <w:szCs w:val="16"/>
                <w:lang w:val="fr-FR"/>
              </w:rPr>
              <w:t>Etablissement organisé/reconnu et subventionné par la Communauté française de Belgique</w:t>
            </w:r>
          </w:p>
          <w:p>
            <w:pPr>
              <w:rPr>
                <w:rFonts w:ascii="Arial" w:hAnsi="Arial" w:cs="Arial"/>
                <w:i/>
                <w:sz w:val="16"/>
                <w:szCs w:val="16"/>
                <w:lang w:val="fr-FR"/>
              </w:rPr>
            </w:pPr>
          </w:p>
        </w:tc>
        <w:tc>
          <w:tcPr>
            <w:tcW w:w="4878" w:type="dxa"/>
            <w:tcBorders>
              <w:top w:val="single" w:sz="4" w:space="0" w:color="auto"/>
              <w:bottom w:val="single" w:sz="4" w:space="0" w:color="auto"/>
            </w:tcBorders>
          </w:tcPr>
          <w:p>
            <w:pPr>
              <w:rPr>
                <w:rFonts w:ascii="Arial" w:hAnsi="Arial" w:cs="Arial"/>
                <w:b/>
                <w:sz w:val="16"/>
                <w:szCs w:val="16"/>
                <w:lang w:val="fr-FR"/>
              </w:rPr>
            </w:pPr>
            <w:r>
              <w:rPr>
                <w:rFonts w:ascii="Arial" w:hAnsi="Arial" w:cs="Arial"/>
                <w:b/>
                <w:sz w:val="16"/>
                <w:szCs w:val="16"/>
                <w:lang w:val="fr-FR"/>
              </w:rPr>
              <w:t>Nom et statut de l’autorité de tutelle responsable de l’organisme certificateur</w:t>
            </w:r>
          </w:p>
          <w:p>
            <w:pPr>
              <w:rPr>
                <w:rFonts w:ascii="Arial" w:hAnsi="Arial" w:cs="Arial"/>
                <w:sz w:val="16"/>
                <w:szCs w:val="16"/>
                <w:lang w:val="fr-FR"/>
              </w:rPr>
            </w:pPr>
            <w:r>
              <w:rPr>
                <w:rFonts w:ascii="Arial" w:hAnsi="Arial" w:cs="Arial"/>
                <w:sz w:val="16"/>
                <w:szCs w:val="16"/>
                <w:lang w:val="fr-FR"/>
              </w:rPr>
              <w:t>Ministère de la Fédération Wallonie-Bruxelles (Communauté française de Belgique)</w:t>
            </w:r>
          </w:p>
          <w:p>
            <w:pPr>
              <w:rPr>
                <w:rFonts w:ascii="Arial" w:hAnsi="Arial" w:cs="Arial"/>
                <w:sz w:val="16"/>
                <w:szCs w:val="16"/>
                <w:lang w:val="fr-FR"/>
              </w:rPr>
            </w:pPr>
            <w:r>
              <w:rPr>
                <w:rFonts w:ascii="Arial" w:hAnsi="Arial" w:cs="Arial"/>
                <w:sz w:val="16"/>
                <w:szCs w:val="16"/>
                <w:lang w:val="fr-FR"/>
              </w:rPr>
              <w:t>Boulevard Léopold II, 44</w:t>
            </w:r>
          </w:p>
          <w:p>
            <w:pPr>
              <w:rPr>
                <w:rFonts w:ascii="Arial" w:hAnsi="Arial" w:cs="Arial"/>
                <w:sz w:val="16"/>
                <w:szCs w:val="16"/>
                <w:lang w:val="fr-FR"/>
              </w:rPr>
            </w:pPr>
            <w:r>
              <w:rPr>
                <w:rFonts w:ascii="Arial" w:hAnsi="Arial" w:cs="Arial"/>
                <w:sz w:val="16"/>
                <w:szCs w:val="16"/>
                <w:lang w:val="fr-FR"/>
              </w:rPr>
              <w:t>B – 1080 BRUXELLES</w:t>
            </w:r>
          </w:p>
          <w:p>
            <w:pPr>
              <w:rPr>
                <w:rFonts w:ascii="Arial" w:hAnsi="Arial" w:cs="Arial"/>
                <w:sz w:val="16"/>
                <w:szCs w:val="16"/>
                <w:lang w:val="fr-FR"/>
              </w:rPr>
            </w:pPr>
            <w:r>
              <w:rPr>
                <w:rFonts w:ascii="Arial" w:hAnsi="Arial" w:cs="Arial"/>
                <w:sz w:val="16"/>
                <w:szCs w:val="16"/>
                <w:lang w:val="fr-FR"/>
              </w:rPr>
              <w:t>Belgique</w:t>
            </w:r>
          </w:p>
          <w:p>
            <w:pPr>
              <w:rPr>
                <w:rFonts w:ascii="Arial" w:hAnsi="Arial" w:cs="Arial"/>
                <w:sz w:val="16"/>
                <w:szCs w:val="16"/>
                <w:lang w:val="fr-FR"/>
              </w:rPr>
            </w:pPr>
            <w:hyperlink r:id="rId14" w:history="1">
              <w:r>
                <w:rPr>
                  <w:rStyle w:val="Lienhypertexte"/>
                  <w:rFonts w:ascii="Arial" w:hAnsi="Arial" w:cs="Arial"/>
                  <w:sz w:val="16"/>
                  <w:szCs w:val="16"/>
                  <w:lang w:val="fr-FR"/>
                </w:rPr>
                <w:t>http://www.federation-wallonie-bruxelles.be/</w:t>
              </w:r>
            </w:hyperlink>
          </w:p>
          <w:p>
            <w:pPr>
              <w:rPr>
                <w:rFonts w:ascii="Arial" w:hAnsi="Arial" w:cs="Arial"/>
                <w:sz w:val="16"/>
                <w:szCs w:val="16"/>
                <w:lang w:val="fr-FR"/>
              </w:rPr>
            </w:pPr>
            <w:hyperlink r:id="rId15" w:history="1">
              <w:r>
                <w:rPr>
                  <w:rStyle w:val="Lienhypertexte"/>
                  <w:rFonts w:ascii="Arial" w:hAnsi="Arial" w:cs="Arial"/>
                  <w:sz w:val="16"/>
                  <w:szCs w:val="16"/>
                  <w:lang w:val="fr-FR"/>
                </w:rPr>
                <w:t>http://www.enseignement.be/</w:t>
              </w:r>
            </w:hyperlink>
          </w:p>
          <w:p>
            <w:pPr>
              <w:rPr>
                <w:rFonts w:ascii="Arial" w:hAnsi="Arial" w:cs="Arial"/>
                <w:sz w:val="16"/>
                <w:szCs w:val="16"/>
                <w:lang w:val="fr-FR"/>
              </w:rPr>
            </w:pPr>
          </w:p>
          <w:p>
            <w:pPr>
              <w:rPr>
                <w:rFonts w:ascii="Arial" w:hAnsi="Arial" w:cs="Arial"/>
                <w:sz w:val="16"/>
                <w:szCs w:val="16"/>
                <w:lang w:val="fr-FR"/>
              </w:rPr>
            </w:pPr>
          </w:p>
        </w:tc>
      </w:tr>
      <w:tr>
        <w:trPr>
          <w:trHeight w:val="1520"/>
        </w:trPr>
        <w:tc>
          <w:tcPr>
            <w:tcW w:w="5472" w:type="dxa"/>
            <w:tcBorders>
              <w:top w:val="nil"/>
            </w:tcBorders>
          </w:tcPr>
          <w:p>
            <w:pPr>
              <w:spacing w:before="40" w:after="40"/>
              <w:rPr>
                <w:rFonts w:ascii="Arial" w:hAnsi="Arial" w:cs="Arial"/>
                <w:sz w:val="16"/>
                <w:szCs w:val="16"/>
                <w:lang w:val="fr-FR"/>
              </w:rPr>
            </w:pPr>
            <w:r>
              <w:rPr>
                <w:rFonts w:ascii="Arial" w:hAnsi="Arial" w:cs="Arial"/>
                <w:b/>
                <w:sz w:val="16"/>
                <w:szCs w:val="16"/>
                <w:lang w:val="fr-FR"/>
              </w:rPr>
              <w:t xml:space="preserve">Niveau dans le cadre des certifications de la communauté française de Belgique : </w:t>
            </w:r>
            <w:r>
              <w:rPr>
                <w:rFonts w:ascii="Arial" w:hAnsi="Arial" w:cs="Arial"/>
                <w:sz w:val="16"/>
                <w:szCs w:val="16"/>
                <w:lang w:val="fr-FR"/>
              </w:rPr>
              <w:t>niveau 4</w:t>
            </w:r>
          </w:p>
          <w:p>
            <w:pPr>
              <w:spacing w:before="40" w:after="40"/>
              <w:rPr>
                <w:rFonts w:ascii="Arial" w:hAnsi="Arial" w:cs="Arial"/>
                <w:sz w:val="16"/>
                <w:szCs w:val="16"/>
                <w:lang w:val="fr-FR"/>
              </w:rPr>
            </w:pPr>
          </w:p>
          <w:p>
            <w:pPr>
              <w:rPr>
                <w:rFonts w:ascii="Arial" w:hAnsi="Arial" w:cs="Arial"/>
                <w:i/>
                <w:sz w:val="16"/>
                <w:szCs w:val="16"/>
                <w:lang w:val="fr-FR"/>
              </w:rPr>
            </w:pPr>
          </w:p>
        </w:tc>
        <w:tc>
          <w:tcPr>
            <w:tcW w:w="4878" w:type="dxa"/>
            <w:tcBorders>
              <w:top w:val="nil"/>
            </w:tcBorders>
          </w:tcPr>
          <w:p>
            <w:pPr>
              <w:spacing w:before="40" w:after="40"/>
              <w:rPr>
                <w:rFonts w:ascii="Arial" w:hAnsi="Arial" w:cs="Arial"/>
                <w:sz w:val="16"/>
                <w:szCs w:val="16"/>
                <w:lang w:val="fr-FR"/>
              </w:rPr>
            </w:pPr>
            <w:r>
              <w:rPr>
                <w:rFonts w:ascii="Arial" w:hAnsi="Arial" w:cs="Arial"/>
                <w:b/>
                <w:sz w:val="16"/>
                <w:szCs w:val="16"/>
                <w:lang w:val="fr-FR"/>
              </w:rPr>
              <w:t>Système de notation / conditions d’octroi</w:t>
            </w:r>
          </w:p>
          <w:p>
            <w:pPr>
              <w:rPr>
                <w:rFonts w:ascii="Arial" w:hAnsi="Arial" w:cs="Arial"/>
                <w:sz w:val="16"/>
                <w:szCs w:val="16"/>
                <w:lang w:val="fr-FR"/>
              </w:rPr>
            </w:pPr>
            <w:r>
              <w:rPr>
                <w:rFonts w:ascii="Arial" w:hAnsi="Arial" w:cs="Arial"/>
                <w:sz w:val="16"/>
                <w:szCs w:val="16"/>
                <w:lang w:val="fr-FR"/>
              </w:rPr>
              <w:t>Le certificat de qualification est délivré aux étudiants qui maîtrisent les acquis d’apprentissage fixés par les unités d’enseignement de la section « Technicien en comptabilité » de l’Enseignement de promotion sociale.</w:t>
            </w:r>
          </w:p>
          <w:p>
            <w:pPr>
              <w:rPr>
                <w:rFonts w:ascii="Arial" w:hAnsi="Arial" w:cs="Arial"/>
                <w:sz w:val="16"/>
                <w:szCs w:val="16"/>
                <w:lang w:val="fr-FR"/>
              </w:rPr>
            </w:pPr>
          </w:p>
          <w:p>
            <w:pPr>
              <w:rPr>
                <w:rFonts w:ascii="Arial" w:hAnsi="Arial" w:cs="Arial"/>
                <w:sz w:val="16"/>
                <w:szCs w:val="16"/>
                <w:lang w:val="fr-FR"/>
              </w:rPr>
            </w:pPr>
            <w:r>
              <w:rPr>
                <w:rFonts w:ascii="Arial" w:hAnsi="Arial" w:cs="Arial"/>
                <w:sz w:val="16"/>
                <w:szCs w:val="16"/>
                <w:lang w:val="fr-FR"/>
              </w:rPr>
              <w:t>Les critères et indicateurs d’évaluation sont définis dans le dossier pédagogique de la section « Technicien en comptabilité</w:t>
            </w:r>
            <w:bookmarkStart w:id="1" w:name="_GoBack"/>
            <w:bookmarkEnd w:id="1"/>
            <w:r>
              <w:rPr>
                <w:rFonts w:ascii="Arial" w:hAnsi="Arial" w:cs="Arial"/>
                <w:sz w:val="16"/>
                <w:szCs w:val="16"/>
                <w:lang w:val="fr-FR"/>
              </w:rPr>
              <w:t> » de l’Enseignement de promotion sociale.</w:t>
            </w:r>
          </w:p>
          <w:p>
            <w:pPr>
              <w:rPr>
                <w:rFonts w:ascii="Arial" w:hAnsi="Arial" w:cs="Arial"/>
                <w:sz w:val="16"/>
                <w:szCs w:val="16"/>
                <w:lang w:val="fr-FR"/>
              </w:rPr>
            </w:pPr>
          </w:p>
          <w:p>
            <w:pPr>
              <w:rPr>
                <w:rFonts w:ascii="Arial" w:hAnsi="Arial" w:cs="Arial"/>
                <w:sz w:val="16"/>
                <w:szCs w:val="16"/>
                <w:lang w:val="fr-FR"/>
              </w:rPr>
            </w:pPr>
          </w:p>
        </w:tc>
      </w:tr>
      <w:tr>
        <w:trPr>
          <w:trHeight w:val="1160"/>
        </w:trPr>
        <w:tc>
          <w:tcPr>
            <w:tcW w:w="5472" w:type="dxa"/>
          </w:tcPr>
          <w:p>
            <w:pPr>
              <w:spacing w:before="40" w:after="40"/>
              <w:rPr>
                <w:rFonts w:ascii="Arial" w:hAnsi="Arial" w:cs="Arial"/>
                <w:b/>
                <w:sz w:val="16"/>
                <w:szCs w:val="16"/>
                <w:lang w:val="fr-FR"/>
              </w:rPr>
            </w:pPr>
            <w:r>
              <w:rPr>
                <w:rFonts w:ascii="Arial" w:hAnsi="Arial" w:cs="Arial"/>
                <w:b/>
                <w:sz w:val="16"/>
                <w:szCs w:val="16"/>
                <w:lang w:val="fr-FR"/>
              </w:rPr>
              <w:t>Accès au niveau suivant d’éducation/de formation</w:t>
            </w:r>
          </w:p>
          <w:p>
            <w:pPr>
              <w:rPr>
                <w:rFonts w:ascii="Arial" w:hAnsi="Arial" w:cs="Arial"/>
                <w:sz w:val="16"/>
                <w:szCs w:val="16"/>
                <w:lang w:val="fr-FR"/>
              </w:rPr>
            </w:pPr>
            <w:r>
              <w:rPr>
                <w:rFonts w:ascii="Arial" w:hAnsi="Arial" w:cs="Arial"/>
                <w:sz w:val="16"/>
                <w:szCs w:val="16"/>
                <w:lang w:val="fr-FR"/>
              </w:rPr>
              <w:t>Néant</w:t>
            </w:r>
          </w:p>
        </w:tc>
        <w:tc>
          <w:tcPr>
            <w:tcW w:w="4878" w:type="dxa"/>
          </w:tcPr>
          <w:p>
            <w:pPr>
              <w:spacing w:before="40" w:after="40"/>
              <w:rPr>
                <w:rFonts w:ascii="Arial" w:hAnsi="Arial" w:cs="Arial"/>
                <w:sz w:val="16"/>
                <w:szCs w:val="16"/>
                <w:lang w:val="fr-FR"/>
              </w:rPr>
            </w:pPr>
            <w:r>
              <w:rPr>
                <w:rFonts w:ascii="Arial" w:hAnsi="Arial" w:cs="Arial"/>
                <w:b/>
                <w:sz w:val="16"/>
                <w:szCs w:val="16"/>
                <w:lang w:val="fr-FR"/>
              </w:rPr>
              <w:t>Accords internationaux</w:t>
            </w:r>
          </w:p>
          <w:p>
            <w:pPr>
              <w:rPr>
                <w:rFonts w:ascii="Arial" w:hAnsi="Arial" w:cs="Arial"/>
                <w:sz w:val="16"/>
                <w:szCs w:val="16"/>
                <w:lang w:val="fr-FR"/>
              </w:rPr>
            </w:pPr>
            <w:r>
              <w:rPr>
                <w:rFonts w:ascii="Arial" w:hAnsi="Arial" w:cs="Arial"/>
                <w:sz w:val="16"/>
                <w:szCs w:val="16"/>
                <w:lang w:val="fr-FR"/>
              </w:rPr>
              <w:t>Néant</w:t>
            </w:r>
          </w:p>
        </w:tc>
      </w:tr>
      <w:tr>
        <w:trPr>
          <w:cantSplit/>
          <w:trHeight w:val="620"/>
        </w:trPr>
        <w:tc>
          <w:tcPr>
            <w:tcW w:w="10350" w:type="dxa"/>
            <w:gridSpan w:val="2"/>
          </w:tcPr>
          <w:p>
            <w:pPr>
              <w:spacing w:before="40" w:after="40"/>
              <w:rPr>
                <w:rFonts w:ascii="Arial" w:hAnsi="Arial" w:cs="Arial"/>
                <w:b/>
                <w:sz w:val="16"/>
                <w:szCs w:val="16"/>
                <w:lang w:val="fr-FR"/>
              </w:rPr>
            </w:pPr>
            <w:r>
              <w:rPr>
                <w:rFonts w:ascii="Arial" w:hAnsi="Arial" w:cs="Arial"/>
                <w:b/>
                <w:sz w:val="16"/>
                <w:szCs w:val="16"/>
                <w:lang w:val="fr-FR"/>
              </w:rPr>
              <w:t>Bases légales du certificat</w:t>
            </w:r>
          </w:p>
          <w:p>
            <w:pPr>
              <w:numPr>
                <w:ilvl w:val="0"/>
                <w:numId w:val="7"/>
              </w:numPr>
              <w:spacing w:line="276" w:lineRule="auto"/>
              <w:ind w:left="714" w:hanging="357"/>
              <w:rPr>
                <w:rFonts w:ascii="Arial" w:hAnsi="Arial" w:cs="Arial"/>
                <w:sz w:val="16"/>
                <w:szCs w:val="16"/>
                <w:lang w:val="fr-FR"/>
              </w:rPr>
            </w:pPr>
            <w:r>
              <w:rPr>
                <w:rFonts w:ascii="Arial" w:hAnsi="Arial" w:cs="Arial"/>
                <w:sz w:val="16"/>
                <w:szCs w:val="16"/>
                <w:lang w:val="fr-FR"/>
              </w:rPr>
              <w:t>Décret du 16 avril 1991 organisant l’enseignement de promotion sociale (articles 30 et 30 ter).</w:t>
            </w:r>
          </w:p>
          <w:p>
            <w:pPr>
              <w:numPr>
                <w:ilvl w:val="0"/>
                <w:numId w:val="7"/>
              </w:numPr>
              <w:spacing w:line="276" w:lineRule="auto"/>
              <w:ind w:left="714" w:hanging="357"/>
              <w:rPr>
                <w:rFonts w:ascii="Arial" w:hAnsi="Arial" w:cs="Arial"/>
                <w:color w:val="000000"/>
                <w:sz w:val="16"/>
                <w:szCs w:val="16"/>
                <w:shd w:val="clear" w:color="auto" w:fill="FFFFFF"/>
                <w:lang w:val="fr-BE"/>
              </w:rPr>
            </w:pPr>
            <w:r>
              <w:rPr>
                <w:rFonts w:ascii="Arial" w:hAnsi="Arial" w:cs="Arial"/>
                <w:color w:val="000000"/>
                <w:sz w:val="16"/>
                <w:szCs w:val="16"/>
                <w:shd w:val="clear" w:color="auto" w:fill="FFFFFF"/>
                <w:lang w:val="fr-BE"/>
              </w:rPr>
              <w:t>Accord de coopération du 29 octobre 2015 entre la Communauté française, la Région wallonne et la Commission communautaire française concernant le Service francophone des Métiers et des Qualifications (en abrégé SFMQ).</w:t>
            </w:r>
          </w:p>
          <w:p>
            <w:pPr>
              <w:numPr>
                <w:ilvl w:val="0"/>
                <w:numId w:val="7"/>
              </w:numPr>
              <w:spacing w:line="276" w:lineRule="auto"/>
              <w:ind w:left="714" w:hanging="357"/>
              <w:rPr>
                <w:rFonts w:ascii="Arial" w:hAnsi="Arial" w:cs="Arial"/>
                <w:sz w:val="16"/>
                <w:szCs w:val="16"/>
                <w:shd w:val="clear" w:color="auto" w:fill="FFFFFF"/>
                <w:lang w:val="fr-BE"/>
              </w:rPr>
            </w:pPr>
            <w:r>
              <w:rPr>
                <w:rFonts w:ascii="Arial" w:hAnsi="Arial" w:cs="Arial"/>
                <w:sz w:val="16"/>
                <w:szCs w:val="16"/>
                <w:shd w:val="clear" w:color="auto" w:fill="FFFFFF"/>
                <w:lang w:val="fr-BE"/>
              </w:rPr>
              <w:t>Arrêté du Gouvernement de la Communauté française du 2 septembre 2015 portant règlement général des études de l’enseignement secondaire de promotion sociale.</w:t>
            </w:r>
          </w:p>
          <w:p>
            <w:pPr>
              <w:numPr>
                <w:ilvl w:val="0"/>
                <w:numId w:val="7"/>
              </w:numPr>
              <w:spacing w:line="276" w:lineRule="auto"/>
              <w:ind w:left="714" w:hanging="357"/>
              <w:rPr>
                <w:rFonts w:ascii="Arial" w:hAnsi="Arial" w:cs="Arial"/>
                <w:sz w:val="16"/>
                <w:szCs w:val="16"/>
                <w:shd w:val="clear" w:color="auto" w:fill="FFFFFF"/>
                <w:lang w:val="fr-BE"/>
              </w:rPr>
            </w:pPr>
            <w:r>
              <w:rPr>
                <w:rFonts w:ascii="Arial" w:hAnsi="Arial" w:cs="Arial"/>
                <w:bCs/>
                <w:sz w:val="16"/>
                <w:szCs w:val="16"/>
                <w:lang w:val="fr-BE"/>
              </w:rPr>
              <w:t>Circulaire 5644 : Sanction des études dans l’enseignement secondaire de promotion sociale et dans l’enseignement supérieur de promotion sociale.</w:t>
            </w:r>
          </w:p>
          <w:p>
            <w:pPr>
              <w:jc w:val="center"/>
              <w:rPr>
                <w:rFonts w:ascii="Arial" w:hAnsi="Arial" w:cs="Arial"/>
                <w:sz w:val="16"/>
                <w:szCs w:val="16"/>
                <w:lang w:val="fr-FR"/>
              </w:rPr>
            </w:pPr>
          </w:p>
        </w:tc>
      </w:tr>
    </w:tbl>
    <w:p>
      <w:pPr>
        <w:jc w:val="center"/>
        <w:rPr>
          <w:rFonts w:ascii="Arial" w:hAnsi="Arial" w:cs="Arial"/>
          <w:sz w:val="16"/>
          <w:szCs w:val="16"/>
          <w:lang w:val="fr-FR"/>
        </w:rPr>
      </w:pPr>
    </w:p>
    <w:tbl>
      <w:tblPr>
        <w:tblW w:w="10350" w:type="dxa"/>
        <w:tblInd w:w="-25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552"/>
        <w:gridCol w:w="3480"/>
        <w:gridCol w:w="3318"/>
      </w:tblGrid>
      <w:tr>
        <w:trPr>
          <w:trHeight w:val="161"/>
        </w:trPr>
        <w:tc>
          <w:tcPr>
            <w:tcW w:w="10350" w:type="dxa"/>
            <w:gridSpan w:val="3"/>
            <w:tcBorders>
              <w:top w:val="double" w:sz="4" w:space="0" w:color="auto"/>
              <w:bottom w:val="single" w:sz="4" w:space="0" w:color="808080"/>
            </w:tcBorders>
          </w:tcPr>
          <w:p>
            <w:pPr>
              <w:spacing w:before="20" w:after="20"/>
              <w:jc w:val="center"/>
              <w:rPr>
                <w:rFonts w:ascii="Arial" w:hAnsi="Arial" w:cs="Arial"/>
                <w:b/>
                <w:sz w:val="16"/>
                <w:szCs w:val="16"/>
                <w:lang w:val="fr-FR"/>
              </w:rPr>
            </w:pPr>
            <w:r>
              <w:rPr>
                <w:rFonts w:ascii="Arial" w:hAnsi="Arial" w:cs="Arial"/>
                <w:sz w:val="16"/>
                <w:szCs w:val="16"/>
                <w:lang w:val="fr-FR"/>
              </w:rPr>
              <w:t>6. Modes d’accès à la certification officiellement reconnus</w:t>
            </w:r>
          </w:p>
        </w:tc>
      </w:tr>
      <w:tr>
        <w:trPr>
          <w:cantSplit/>
          <w:trHeight w:val="20"/>
        </w:trPr>
        <w:tc>
          <w:tcPr>
            <w:tcW w:w="3552" w:type="dxa"/>
            <w:tcBorders>
              <w:top w:val="single" w:sz="4" w:space="0" w:color="auto"/>
              <w:bottom w:val="single" w:sz="4" w:space="0" w:color="auto"/>
            </w:tcBorders>
          </w:tcPr>
          <w:p>
            <w:pPr>
              <w:spacing w:before="20" w:after="20"/>
              <w:jc w:val="center"/>
              <w:rPr>
                <w:rFonts w:ascii="Arial" w:hAnsi="Arial" w:cs="Arial"/>
                <w:b/>
                <w:sz w:val="16"/>
                <w:szCs w:val="16"/>
                <w:lang w:val="fr-FR"/>
              </w:rPr>
            </w:pPr>
            <w:r>
              <w:rPr>
                <w:rFonts w:ascii="Arial" w:hAnsi="Arial" w:cs="Arial"/>
                <w:b/>
                <w:sz w:val="16"/>
                <w:szCs w:val="16"/>
                <w:lang w:val="fr-FR"/>
              </w:rPr>
              <w:t>Description de l’enseignement suivi</w:t>
            </w:r>
          </w:p>
        </w:tc>
        <w:tc>
          <w:tcPr>
            <w:tcW w:w="3480" w:type="dxa"/>
            <w:tcBorders>
              <w:top w:val="single" w:sz="4" w:space="0" w:color="auto"/>
              <w:bottom w:val="single" w:sz="4" w:space="0" w:color="auto"/>
            </w:tcBorders>
          </w:tcPr>
          <w:p>
            <w:pPr>
              <w:spacing w:before="20" w:after="20"/>
              <w:jc w:val="center"/>
              <w:rPr>
                <w:rFonts w:ascii="Arial" w:hAnsi="Arial" w:cs="Arial"/>
                <w:b/>
                <w:sz w:val="16"/>
                <w:szCs w:val="16"/>
                <w:lang w:val="fr-FR"/>
              </w:rPr>
            </w:pPr>
            <w:r>
              <w:rPr>
                <w:rFonts w:ascii="Arial" w:hAnsi="Arial" w:cs="Arial"/>
                <w:b/>
                <w:sz w:val="16"/>
                <w:szCs w:val="16"/>
                <w:lang w:val="fr-FR"/>
              </w:rPr>
              <w:t>Part du volume total de l’enseignement</w:t>
            </w:r>
          </w:p>
        </w:tc>
        <w:tc>
          <w:tcPr>
            <w:tcW w:w="3318" w:type="dxa"/>
            <w:tcBorders>
              <w:top w:val="single" w:sz="4" w:space="0" w:color="auto"/>
              <w:bottom w:val="single" w:sz="4" w:space="0" w:color="auto"/>
            </w:tcBorders>
          </w:tcPr>
          <w:p>
            <w:pPr>
              <w:spacing w:before="20" w:after="20"/>
              <w:jc w:val="center"/>
              <w:rPr>
                <w:rFonts w:ascii="Arial" w:hAnsi="Arial" w:cs="Arial"/>
                <w:b/>
                <w:sz w:val="16"/>
                <w:szCs w:val="16"/>
                <w:lang w:val="fr-FR"/>
              </w:rPr>
            </w:pPr>
            <w:r>
              <w:rPr>
                <w:rFonts w:ascii="Arial" w:hAnsi="Arial" w:cs="Arial"/>
                <w:b/>
                <w:sz w:val="16"/>
                <w:szCs w:val="16"/>
                <w:lang w:val="fr-FR"/>
              </w:rPr>
              <w:t>Durée (heures/semaines/mois/années)</w:t>
            </w:r>
          </w:p>
        </w:tc>
      </w:tr>
      <w:tr>
        <w:trPr>
          <w:cantSplit/>
          <w:trHeight w:val="323"/>
        </w:trPr>
        <w:tc>
          <w:tcPr>
            <w:tcW w:w="3552" w:type="dxa"/>
            <w:tcBorders>
              <w:top w:val="nil"/>
              <w:bottom w:val="dotted" w:sz="4" w:space="0" w:color="auto"/>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École : enseignement secondaire de promotion sociale</w:t>
            </w:r>
          </w:p>
        </w:tc>
        <w:tc>
          <w:tcPr>
            <w:tcW w:w="3480" w:type="dxa"/>
            <w:tcBorders>
              <w:top w:val="nil"/>
              <w:left w:val="dotted" w:sz="4" w:space="0" w:color="auto"/>
              <w:bottom w:val="dotted" w:sz="4" w:space="0" w:color="auto"/>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0 à 82 %</w:t>
            </w:r>
          </w:p>
        </w:tc>
        <w:tc>
          <w:tcPr>
            <w:tcW w:w="3318" w:type="dxa"/>
            <w:tcBorders>
              <w:top w:val="nil"/>
              <w:left w:val="dotted" w:sz="4" w:space="0" w:color="auto"/>
              <w:bottom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1440 périodes (1 période = 50 minutes)</w:t>
            </w:r>
          </w:p>
        </w:tc>
      </w:tr>
      <w:tr>
        <w:trPr>
          <w:cantSplit/>
          <w:trHeight w:val="350"/>
        </w:trPr>
        <w:tc>
          <w:tcPr>
            <w:tcW w:w="3552" w:type="dxa"/>
            <w:tcBorders>
              <w:top w:val="nil"/>
              <w:bottom w:val="dotted" w:sz="4" w:space="0" w:color="auto"/>
              <w:right w:val="dotted" w:sz="4" w:space="0" w:color="auto"/>
            </w:tcBorders>
          </w:tcPr>
          <w:p>
            <w:pPr>
              <w:spacing w:before="20" w:after="20"/>
              <w:jc w:val="center"/>
              <w:rPr>
                <w:rFonts w:ascii="Arial" w:hAnsi="Arial" w:cs="Arial"/>
                <w:b/>
                <w:sz w:val="16"/>
                <w:szCs w:val="16"/>
                <w:lang w:val="fr-FR"/>
              </w:rPr>
            </w:pPr>
            <w:r>
              <w:rPr>
                <w:rFonts w:ascii="Arial" w:hAnsi="Arial" w:cs="Arial"/>
                <w:sz w:val="16"/>
                <w:szCs w:val="16"/>
                <w:lang w:val="fr-FR"/>
              </w:rPr>
              <w:t>Apprentissage en contexte professionnel</w:t>
            </w:r>
          </w:p>
        </w:tc>
        <w:tc>
          <w:tcPr>
            <w:tcW w:w="3480" w:type="dxa"/>
            <w:tcBorders>
              <w:top w:val="nil"/>
              <w:left w:val="dotted" w:sz="4" w:space="0" w:color="auto"/>
              <w:bottom w:val="dotted" w:sz="4" w:space="0" w:color="auto"/>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10 à 18 %</w:t>
            </w:r>
          </w:p>
        </w:tc>
        <w:tc>
          <w:tcPr>
            <w:tcW w:w="3318" w:type="dxa"/>
            <w:tcBorders>
              <w:top w:val="nil"/>
              <w:left w:val="dotted" w:sz="4" w:space="0" w:color="auto"/>
              <w:bottom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120 périodes</w:t>
            </w:r>
          </w:p>
        </w:tc>
      </w:tr>
      <w:tr>
        <w:trPr>
          <w:cantSplit/>
          <w:trHeight w:val="350"/>
        </w:trPr>
        <w:tc>
          <w:tcPr>
            <w:tcW w:w="3552" w:type="dxa"/>
            <w:tcBorders>
              <w:top w:val="dotted" w:sz="4" w:space="0" w:color="auto"/>
              <w:bottom w:val="nil"/>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Apprentissage non formel validé</w:t>
            </w:r>
          </w:p>
        </w:tc>
        <w:tc>
          <w:tcPr>
            <w:tcW w:w="3480" w:type="dxa"/>
            <w:tcBorders>
              <w:top w:val="dotted" w:sz="4" w:space="0" w:color="auto"/>
              <w:left w:val="dotted" w:sz="4" w:space="0" w:color="auto"/>
              <w:bottom w:val="nil"/>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0 à 90 %</w:t>
            </w:r>
          </w:p>
        </w:tc>
        <w:tc>
          <w:tcPr>
            <w:tcW w:w="3318" w:type="dxa"/>
            <w:tcBorders>
              <w:top w:val="dotted" w:sz="4" w:space="0" w:color="auto"/>
              <w:left w:val="dotted" w:sz="4" w:space="0" w:color="auto"/>
              <w:bottom w:val="single" w:sz="4" w:space="0" w:color="auto"/>
            </w:tcBorders>
          </w:tcPr>
          <w:p>
            <w:pPr>
              <w:spacing w:before="20" w:after="20"/>
              <w:jc w:val="center"/>
              <w:rPr>
                <w:rFonts w:ascii="Arial" w:hAnsi="Arial" w:cs="Arial"/>
                <w:sz w:val="16"/>
                <w:szCs w:val="16"/>
                <w:lang w:val="fr-FR"/>
              </w:rPr>
            </w:pPr>
          </w:p>
        </w:tc>
      </w:tr>
      <w:tr>
        <w:trPr>
          <w:cantSplit/>
          <w:trHeight w:val="320"/>
        </w:trPr>
        <w:tc>
          <w:tcPr>
            <w:tcW w:w="7032" w:type="dxa"/>
            <w:gridSpan w:val="2"/>
            <w:tcBorders>
              <w:top w:val="single" w:sz="4" w:space="0" w:color="auto"/>
              <w:bottom w:val="nil"/>
            </w:tcBorders>
          </w:tcPr>
          <w:p>
            <w:pPr>
              <w:spacing w:before="20" w:after="20"/>
              <w:jc w:val="both"/>
              <w:rPr>
                <w:rFonts w:ascii="Arial" w:hAnsi="Arial" w:cs="Arial"/>
                <w:b/>
                <w:sz w:val="16"/>
                <w:szCs w:val="16"/>
                <w:lang w:val="fr-FR"/>
              </w:rPr>
            </w:pPr>
            <w:r>
              <w:rPr>
                <w:rFonts w:ascii="Arial" w:hAnsi="Arial" w:cs="Arial"/>
                <w:b/>
                <w:sz w:val="16"/>
                <w:szCs w:val="16"/>
                <w:lang w:val="fr-FR"/>
              </w:rPr>
              <w:t>Durée totale de l’enseignement</w:t>
            </w:r>
          </w:p>
        </w:tc>
        <w:tc>
          <w:tcPr>
            <w:tcW w:w="3318" w:type="dxa"/>
            <w:tcBorders>
              <w:top w:val="nil"/>
            </w:tcBorders>
          </w:tcPr>
          <w:p>
            <w:pPr>
              <w:spacing w:before="20" w:after="20"/>
              <w:jc w:val="center"/>
              <w:rPr>
                <w:rFonts w:ascii="Arial" w:hAnsi="Arial" w:cs="Arial"/>
                <w:sz w:val="16"/>
                <w:szCs w:val="16"/>
                <w:lang w:val="fr-FR"/>
              </w:rPr>
            </w:pPr>
            <w:r>
              <w:rPr>
                <w:rFonts w:ascii="Arial" w:hAnsi="Arial" w:cs="Arial"/>
                <w:sz w:val="16"/>
                <w:szCs w:val="16"/>
                <w:lang w:val="fr-FR"/>
              </w:rPr>
              <w:t>Durée variable : enseignement modulaire (article 14 du Décret du 16 avril 1991)</w:t>
            </w:r>
          </w:p>
        </w:tc>
      </w:tr>
      <w:tr>
        <w:trPr>
          <w:trHeight w:val="2119"/>
        </w:trPr>
        <w:tc>
          <w:tcPr>
            <w:tcW w:w="10350" w:type="dxa"/>
            <w:gridSpan w:val="3"/>
            <w:tcBorders>
              <w:top w:val="nil"/>
              <w:bottom w:val="nil"/>
            </w:tcBorders>
          </w:tcPr>
          <w:p>
            <w:pPr>
              <w:spacing w:before="40" w:after="40"/>
              <w:rPr>
                <w:rFonts w:ascii="Arial" w:hAnsi="Arial" w:cs="Arial"/>
                <w:b/>
                <w:sz w:val="16"/>
                <w:szCs w:val="16"/>
                <w:u w:val="single"/>
                <w:lang w:val="fr-FR"/>
              </w:rPr>
            </w:pPr>
            <w:r>
              <w:rPr>
                <w:rFonts w:ascii="Arial" w:hAnsi="Arial" w:cs="Arial"/>
                <w:b/>
                <w:sz w:val="16"/>
                <w:szCs w:val="16"/>
                <w:lang w:val="fr-FR"/>
              </w:rPr>
              <w:t>Niveau d’entrée requis</w:t>
            </w:r>
          </w:p>
          <w:p>
            <w:pPr>
              <w:numPr>
                <w:ilvl w:val="0"/>
                <w:numId w:val="8"/>
              </w:numPr>
              <w:rPr>
                <w:rFonts w:ascii="Arial" w:hAnsi="Arial" w:cs="Arial"/>
                <w:sz w:val="16"/>
                <w:szCs w:val="16"/>
                <w:lang w:val="fr-FR"/>
              </w:rPr>
            </w:pPr>
            <w:r>
              <w:rPr>
                <w:rFonts w:ascii="Arial" w:hAnsi="Arial" w:cs="Arial"/>
                <w:sz w:val="16"/>
                <w:szCs w:val="16"/>
                <w:lang w:val="fr-FR"/>
              </w:rPr>
              <w:t>Etre titulaire du Certificat d’études du deuxième degré ou du certificat d’enseignement secondaire inférieur ou réussite d’un test vérifiant les compétences de base (correspondantes à celles du C2D ou CESI) en français et en mathématiques ;</w:t>
            </w:r>
          </w:p>
          <w:p>
            <w:pPr>
              <w:numPr>
                <w:ilvl w:val="0"/>
                <w:numId w:val="8"/>
              </w:numPr>
              <w:rPr>
                <w:rFonts w:ascii="Arial" w:hAnsi="Arial" w:cs="Arial"/>
                <w:sz w:val="16"/>
                <w:szCs w:val="16"/>
                <w:lang w:val="fr-FR"/>
              </w:rPr>
            </w:pPr>
            <w:r>
              <w:rPr>
                <w:rFonts w:ascii="Arial" w:hAnsi="Arial" w:cs="Arial"/>
                <w:sz w:val="16"/>
                <w:szCs w:val="16"/>
                <w:lang w:val="fr-FR"/>
              </w:rPr>
              <w:t xml:space="preserve">Les conditions d’admission dans l’enseignement de promotion sociale sont précisées dans les articles 33, 34 et 35 du Décret du 16 avril 1991 </w:t>
            </w:r>
          </w:p>
          <w:p>
            <w:pPr>
              <w:spacing w:before="20" w:after="20"/>
              <w:rPr>
                <w:rFonts w:ascii="Arial" w:hAnsi="Arial" w:cs="Arial"/>
                <w:sz w:val="16"/>
                <w:szCs w:val="16"/>
                <w:lang w:val="fr-FR"/>
              </w:rPr>
            </w:pPr>
          </w:p>
          <w:p>
            <w:pPr>
              <w:spacing w:before="20" w:after="20"/>
              <w:rPr>
                <w:rFonts w:ascii="Arial" w:hAnsi="Arial" w:cs="Arial"/>
                <w:b/>
                <w:sz w:val="16"/>
                <w:szCs w:val="16"/>
                <w:lang w:val="fr-FR"/>
              </w:rPr>
            </w:pPr>
          </w:p>
          <w:p>
            <w:pPr>
              <w:spacing w:before="40" w:after="40"/>
              <w:rPr>
                <w:rFonts w:ascii="Arial" w:hAnsi="Arial" w:cs="Arial"/>
                <w:b/>
                <w:sz w:val="16"/>
                <w:szCs w:val="16"/>
                <w:lang w:val="fr-FR"/>
              </w:rPr>
            </w:pPr>
            <w:r>
              <w:rPr>
                <w:rFonts w:ascii="Arial" w:hAnsi="Arial" w:cs="Arial"/>
                <w:b/>
                <w:sz w:val="16"/>
                <w:szCs w:val="16"/>
                <w:lang w:val="fr-FR"/>
              </w:rPr>
              <w:t>Information complémentaire</w:t>
            </w:r>
          </w:p>
          <w:p>
            <w:pPr>
              <w:rPr>
                <w:rFonts w:ascii="Arial" w:hAnsi="Arial" w:cs="Arial"/>
                <w:sz w:val="16"/>
                <w:szCs w:val="16"/>
                <w:lang w:val="fr-FR"/>
              </w:rPr>
            </w:pPr>
            <w:hyperlink r:id="rId16" w:history="1">
              <w:r>
                <w:rPr>
                  <w:rStyle w:val="Lienhypertexte"/>
                  <w:rFonts w:ascii="Arial" w:hAnsi="Arial" w:cs="Arial"/>
                  <w:sz w:val="16"/>
                  <w:szCs w:val="16"/>
                  <w:lang w:val="fr-FR"/>
                </w:rPr>
                <w:t>http://europass.cedefop.europa.eu</w:t>
              </w:r>
            </w:hyperlink>
          </w:p>
          <w:p>
            <w:pPr>
              <w:rPr>
                <w:rFonts w:ascii="Arial" w:hAnsi="Arial" w:cs="Arial"/>
                <w:sz w:val="16"/>
                <w:szCs w:val="16"/>
                <w:lang w:val="fr-FR"/>
              </w:rPr>
            </w:pPr>
          </w:p>
        </w:tc>
      </w:tr>
      <w:tr>
        <w:trPr>
          <w:trHeight w:val="68"/>
        </w:trPr>
        <w:tc>
          <w:tcPr>
            <w:tcW w:w="10350" w:type="dxa"/>
            <w:gridSpan w:val="3"/>
            <w:tcBorders>
              <w:top w:val="nil"/>
            </w:tcBorders>
          </w:tcPr>
          <w:p>
            <w:pPr>
              <w:spacing w:before="40" w:after="40"/>
              <w:rPr>
                <w:rFonts w:ascii="Arial" w:hAnsi="Arial" w:cs="Arial"/>
                <w:b/>
                <w:sz w:val="16"/>
                <w:szCs w:val="16"/>
                <w:lang w:val="fr-FR"/>
              </w:rPr>
            </w:pPr>
            <w:r>
              <w:rPr>
                <w:rFonts w:ascii="Arial" w:hAnsi="Arial" w:cs="Arial"/>
                <w:b/>
                <w:sz w:val="16"/>
                <w:szCs w:val="16"/>
                <w:lang w:val="fr-FR"/>
              </w:rPr>
              <w:t xml:space="preserve">Tout renseignement sur le système d’enseignement de promotion sociale : </w:t>
            </w:r>
          </w:p>
          <w:p>
            <w:pPr>
              <w:spacing w:before="40" w:after="40"/>
              <w:rPr>
                <w:rFonts w:ascii="Arial" w:hAnsi="Arial" w:cs="Arial"/>
                <w:sz w:val="16"/>
                <w:szCs w:val="16"/>
                <w:lang w:val="fr-FR"/>
              </w:rPr>
            </w:pPr>
            <w:hyperlink r:id="rId17" w:history="1">
              <w:r>
                <w:rPr>
                  <w:rStyle w:val="Lienhypertexte"/>
                  <w:rFonts w:ascii="Arial" w:hAnsi="Arial" w:cs="Arial"/>
                  <w:sz w:val="16"/>
                  <w:szCs w:val="16"/>
                  <w:lang w:val="fr-FR"/>
                </w:rPr>
                <w:t>http://www.enseignement.be/index.php?page=27151</w:t>
              </w:r>
            </w:hyperlink>
          </w:p>
          <w:p>
            <w:pPr>
              <w:spacing w:before="40" w:after="40"/>
              <w:rPr>
                <w:rFonts w:ascii="Arial" w:hAnsi="Arial" w:cs="Arial"/>
                <w:sz w:val="16"/>
                <w:szCs w:val="16"/>
                <w:lang w:val="fr-FR"/>
              </w:rPr>
            </w:pPr>
          </w:p>
        </w:tc>
      </w:tr>
    </w:tbl>
    <w:p>
      <w:pPr>
        <w:jc w:val="center"/>
        <w:rPr>
          <w:rFonts w:ascii="Arial" w:hAnsi="Arial" w:cs="Arial"/>
          <w:sz w:val="16"/>
          <w:szCs w:val="16"/>
          <w:lang w:val="fr-FR"/>
        </w:rPr>
      </w:pPr>
    </w:p>
    <w:sectPr>
      <w:headerReference w:type="default" r:id="rId18"/>
      <w:footerReference w:type="default" r:id="rId19"/>
      <w:type w:val="continuous"/>
      <w:pgSz w:w="12240" w:h="15840" w:code="1"/>
      <w:pgMar w:top="851" w:right="1418" w:bottom="851" w:left="1418" w:header="284"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numPr>
        <w:ilvl w:val="12"/>
        <w:numId w:val="0"/>
      </w:numPr>
      <w:jc w:val="center"/>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rPr>
          <w:lang w:val="fr-BE"/>
        </w:rPr>
      </w:pPr>
      <w:r>
        <w:rPr>
          <w:rStyle w:val="Appelnotedebasdep"/>
        </w:rPr>
        <w:footnoteRef/>
      </w:r>
      <w:r>
        <w:rPr>
          <w:lang w:val="fr-BE"/>
        </w:rPr>
        <w:t xml:space="preserve">  </w:t>
      </w:r>
      <w:proofErr w:type="gramStart"/>
      <w:r>
        <w:rPr>
          <w:rFonts w:ascii="Arial" w:hAnsi="Arial"/>
          <w:sz w:val="16"/>
          <w:lang w:val="fr-FR"/>
        </w:rPr>
        <w:t>dans</w:t>
      </w:r>
      <w:proofErr w:type="gramEnd"/>
      <w:r>
        <w:rPr>
          <w:rFonts w:ascii="Arial" w:hAnsi="Arial"/>
          <w:sz w:val="16"/>
          <w:lang w:val="fr-FR"/>
        </w:rPr>
        <w:t xml:space="preserve"> la langue d’origine</w:t>
      </w:r>
    </w:p>
  </w:footnote>
  <w:footnote w:id="2">
    <w:p>
      <w:pPr>
        <w:pStyle w:val="Notedebasdepage"/>
        <w:rPr>
          <w:lang w:val="fr-BE"/>
        </w:rPr>
      </w:pPr>
      <w:r>
        <w:rPr>
          <w:rStyle w:val="Appelnotedebasdep"/>
        </w:rPr>
        <w:footnoteRef/>
      </w:r>
      <w:r>
        <w:rPr>
          <w:lang w:val="fr-BE"/>
        </w:rPr>
        <w:t xml:space="preserve"> </w:t>
      </w:r>
      <w:r>
        <w:rPr>
          <w:rFonts w:ascii="Arial" w:hAnsi="Arial"/>
          <w:sz w:val="16"/>
          <w:lang w:val="fr-FR"/>
        </w:rPr>
        <w:t>Le cas échéant. Cette traduction est dépourvue de toute valeur légale</w:t>
      </w:r>
    </w:p>
  </w:footnote>
  <w:footnote w:id="3">
    <w:p>
      <w:pPr>
        <w:pStyle w:val="Notedebasdepage"/>
        <w:rPr>
          <w:lang w:val="fr-BE"/>
        </w:rPr>
      </w:pPr>
      <w:r>
        <w:rPr>
          <w:rStyle w:val="Appelnotedebasdep"/>
        </w:rPr>
        <w:footnoteRef/>
      </w:r>
      <w:r>
        <w:rPr>
          <w:lang w:val="fr-BE"/>
        </w:rPr>
        <w:t xml:space="preserve"> Le masculin est utilisé à titre épicène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numPr>
        <w:ilvl w:val="12"/>
        <w:numId w:val="0"/>
      </w:numPr>
      <w:ind w:right="360"/>
      <w:rPr>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D63B5"/>
    <w:multiLevelType w:val="hybridMultilevel"/>
    <w:tmpl w:val="C204C1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32A2163"/>
    <w:multiLevelType w:val="singleLevel"/>
    <w:tmpl w:val="4E9625DC"/>
    <w:lvl w:ilvl="0">
      <w:start w:val="1"/>
      <w:numFmt w:val="bullet"/>
      <w:pStyle w:val="PUC2"/>
      <w:lvlText w:val=""/>
      <w:lvlJc w:val="left"/>
      <w:pPr>
        <w:tabs>
          <w:tab w:val="num" w:pos="360"/>
        </w:tabs>
        <w:ind w:left="360" w:hanging="360"/>
      </w:pPr>
      <w:rPr>
        <w:rFonts w:ascii="Symbol" w:hAnsi="Symbol" w:cs="Times New Roman" w:hint="default"/>
        <w:color w:val="auto"/>
        <w:sz w:val="18"/>
        <w:szCs w:val="18"/>
      </w:rPr>
    </w:lvl>
  </w:abstractNum>
  <w:abstractNum w:abstractNumId="3" w15:restartNumberingAfterBreak="0">
    <w:nsid w:val="1D5879D0"/>
    <w:multiLevelType w:val="singleLevel"/>
    <w:tmpl w:val="CE38EF1C"/>
    <w:lvl w:ilvl="0">
      <w:start w:val="3"/>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21351842"/>
    <w:multiLevelType w:val="hybridMultilevel"/>
    <w:tmpl w:val="B91CE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A0F3F8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0D1A96"/>
    <w:multiLevelType w:val="multilevel"/>
    <w:tmpl w:val="2FBA5114"/>
    <w:lvl w:ilvl="0">
      <w:numFmt w:val="bullet"/>
      <w:lvlText w:val=""/>
      <w:lvlJc w:val="left"/>
      <w:pPr>
        <w:tabs>
          <w:tab w:val="num" w:pos="786"/>
        </w:tabs>
        <w:suppressAutoHyphens/>
        <w:ind w:left="786" w:hanging="360"/>
      </w:pPr>
      <w:rPr>
        <w:rFonts w:ascii="Symbol" w:hAnsi="Symbol" w:hint="default"/>
        <w:sz w:val="24"/>
      </w:rPr>
    </w:lvl>
    <w:lvl w:ilvl="1">
      <w:start w:val="1"/>
      <w:numFmt w:val="decimal"/>
      <w:lvlText w:val="%2."/>
      <w:lvlJc w:val="left"/>
      <w:pPr>
        <w:tabs>
          <w:tab w:val="num" w:pos="786"/>
        </w:tabs>
        <w:suppressAutoHyphens/>
        <w:ind w:left="786" w:hanging="360"/>
      </w:pPr>
      <w:rPr>
        <w:color w:val="auto"/>
      </w:rPr>
    </w:lvl>
    <w:lvl w:ilvl="2">
      <w:numFmt w:val="bullet"/>
      <w:lvlText w:val=""/>
      <w:lvlJc w:val="left"/>
      <w:pPr>
        <w:tabs>
          <w:tab w:val="num" w:pos="1506"/>
        </w:tabs>
        <w:suppressAutoHyphens/>
        <w:ind w:left="1506" w:hanging="360"/>
      </w:pPr>
      <w:rPr>
        <w:rFonts w:ascii="Wingdings" w:hAnsi="Wingdings" w:hint="default"/>
        <w:sz w:val="24"/>
      </w:rPr>
    </w:lvl>
    <w:lvl w:ilvl="3">
      <w:numFmt w:val="bullet"/>
      <w:lvlText w:val=""/>
      <w:lvlJc w:val="left"/>
      <w:pPr>
        <w:tabs>
          <w:tab w:val="num" w:pos="2226"/>
        </w:tabs>
        <w:suppressAutoHyphens/>
        <w:ind w:left="2226" w:hanging="360"/>
      </w:pPr>
      <w:rPr>
        <w:rFonts w:ascii="Symbol" w:hAnsi="Symbol" w:hint="default"/>
        <w:sz w:val="24"/>
      </w:rPr>
    </w:lvl>
    <w:lvl w:ilvl="4">
      <w:numFmt w:val="bullet"/>
      <w:lvlText w:val="o"/>
      <w:lvlJc w:val="left"/>
      <w:pPr>
        <w:tabs>
          <w:tab w:val="num" w:pos="2946"/>
        </w:tabs>
        <w:suppressAutoHyphens/>
        <w:ind w:left="2946" w:hanging="360"/>
      </w:pPr>
      <w:rPr>
        <w:rFonts w:ascii="Courier New" w:hAnsi="Courier New" w:cs="Courier New" w:hint="default"/>
        <w:sz w:val="24"/>
      </w:rPr>
    </w:lvl>
    <w:lvl w:ilvl="5">
      <w:numFmt w:val="bullet"/>
      <w:lvlText w:val=""/>
      <w:lvlJc w:val="left"/>
      <w:pPr>
        <w:tabs>
          <w:tab w:val="num" w:pos="3666"/>
        </w:tabs>
        <w:suppressAutoHyphens/>
        <w:ind w:left="3666" w:hanging="360"/>
      </w:pPr>
      <w:rPr>
        <w:rFonts w:ascii="Wingdings" w:hAnsi="Wingdings" w:hint="default"/>
        <w:sz w:val="24"/>
      </w:rPr>
    </w:lvl>
    <w:lvl w:ilvl="6">
      <w:numFmt w:val="bullet"/>
      <w:lvlText w:val=""/>
      <w:lvlJc w:val="left"/>
      <w:pPr>
        <w:tabs>
          <w:tab w:val="num" w:pos="4386"/>
        </w:tabs>
        <w:suppressAutoHyphens/>
        <w:ind w:left="4386" w:hanging="360"/>
      </w:pPr>
      <w:rPr>
        <w:rFonts w:ascii="Symbol" w:hAnsi="Symbol" w:hint="default"/>
        <w:sz w:val="24"/>
      </w:rPr>
    </w:lvl>
    <w:lvl w:ilvl="7">
      <w:numFmt w:val="bullet"/>
      <w:lvlText w:val="o"/>
      <w:lvlJc w:val="left"/>
      <w:pPr>
        <w:tabs>
          <w:tab w:val="num" w:pos="5106"/>
        </w:tabs>
        <w:suppressAutoHyphens/>
        <w:ind w:left="5106" w:hanging="360"/>
      </w:pPr>
      <w:rPr>
        <w:rFonts w:ascii="Courier New" w:hAnsi="Courier New" w:cs="Courier New" w:hint="default"/>
        <w:sz w:val="24"/>
      </w:rPr>
    </w:lvl>
    <w:lvl w:ilvl="8">
      <w:numFmt w:val="bullet"/>
      <w:lvlText w:val=""/>
      <w:lvlJc w:val="left"/>
      <w:pPr>
        <w:tabs>
          <w:tab w:val="num" w:pos="5826"/>
        </w:tabs>
        <w:suppressAutoHyphens/>
        <w:ind w:left="5826" w:hanging="360"/>
      </w:pPr>
      <w:rPr>
        <w:rFonts w:ascii="Wingdings" w:hAnsi="Wingdings" w:hint="default"/>
        <w:sz w:val="24"/>
      </w:rPr>
    </w:lvl>
  </w:abstractNum>
  <w:abstractNum w:abstractNumId="7" w15:restartNumberingAfterBreak="0">
    <w:nsid w:val="320A5C4B"/>
    <w:multiLevelType w:val="hybridMultilevel"/>
    <w:tmpl w:val="0C08076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34C222C0"/>
    <w:multiLevelType w:val="singleLevel"/>
    <w:tmpl w:val="080C0001"/>
    <w:lvl w:ilvl="0">
      <w:start w:val="1"/>
      <w:numFmt w:val="bullet"/>
      <w:lvlText w:val=""/>
      <w:lvlJc w:val="left"/>
      <w:pPr>
        <w:ind w:left="360" w:hanging="360"/>
      </w:pPr>
      <w:rPr>
        <w:rFonts w:ascii="Symbol" w:hAnsi="Symbol" w:hint="default"/>
      </w:rPr>
    </w:lvl>
  </w:abstractNum>
  <w:abstractNum w:abstractNumId="9" w15:restartNumberingAfterBreak="0">
    <w:nsid w:val="42C53334"/>
    <w:multiLevelType w:val="multilevel"/>
    <w:tmpl w:val="F9E0A450"/>
    <w:lvl w:ilvl="0">
      <w:numFmt w:val="bullet"/>
      <w:lvlText w:val=""/>
      <w:lvlJc w:val="left"/>
      <w:pPr>
        <w:tabs>
          <w:tab w:val="num" w:pos="786"/>
        </w:tabs>
        <w:suppressAutoHyphens/>
        <w:ind w:left="786" w:hanging="360"/>
      </w:pPr>
      <w:rPr>
        <w:rFonts w:ascii="Symbol" w:hAnsi="Symbol" w:hint="default"/>
        <w:sz w:val="24"/>
      </w:rPr>
    </w:lvl>
    <w:lvl w:ilvl="1">
      <w:start w:val="1"/>
      <w:numFmt w:val="decimal"/>
      <w:lvlText w:val="%2."/>
      <w:lvlJc w:val="left"/>
      <w:pPr>
        <w:tabs>
          <w:tab w:val="num" w:pos="786"/>
        </w:tabs>
        <w:suppressAutoHyphens/>
        <w:ind w:left="786" w:hanging="360"/>
      </w:pPr>
      <w:rPr>
        <w:color w:val="auto"/>
      </w:rPr>
    </w:lvl>
    <w:lvl w:ilvl="2">
      <w:numFmt w:val="bullet"/>
      <w:lvlText w:val=""/>
      <w:lvlJc w:val="left"/>
      <w:pPr>
        <w:tabs>
          <w:tab w:val="num" w:pos="1506"/>
        </w:tabs>
        <w:suppressAutoHyphens/>
        <w:ind w:left="1506" w:hanging="360"/>
      </w:pPr>
      <w:rPr>
        <w:rFonts w:ascii="Wingdings" w:hAnsi="Wingdings" w:hint="default"/>
        <w:sz w:val="24"/>
      </w:rPr>
    </w:lvl>
    <w:lvl w:ilvl="3">
      <w:numFmt w:val="bullet"/>
      <w:lvlText w:val=""/>
      <w:lvlJc w:val="left"/>
      <w:pPr>
        <w:tabs>
          <w:tab w:val="num" w:pos="2226"/>
        </w:tabs>
        <w:suppressAutoHyphens/>
        <w:ind w:left="2226" w:hanging="360"/>
      </w:pPr>
      <w:rPr>
        <w:rFonts w:ascii="Symbol" w:hAnsi="Symbol" w:hint="default"/>
        <w:sz w:val="24"/>
      </w:rPr>
    </w:lvl>
    <w:lvl w:ilvl="4">
      <w:numFmt w:val="bullet"/>
      <w:lvlText w:val="o"/>
      <w:lvlJc w:val="left"/>
      <w:pPr>
        <w:tabs>
          <w:tab w:val="num" w:pos="2946"/>
        </w:tabs>
        <w:suppressAutoHyphens/>
        <w:ind w:left="2946" w:hanging="360"/>
      </w:pPr>
      <w:rPr>
        <w:rFonts w:ascii="Courier New" w:hAnsi="Courier New" w:cs="Courier New" w:hint="default"/>
        <w:sz w:val="24"/>
      </w:rPr>
    </w:lvl>
    <w:lvl w:ilvl="5">
      <w:numFmt w:val="bullet"/>
      <w:lvlText w:val=""/>
      <w:lvlJc w:val="left"/>
      <w:pPr>
        <w:tabs>
          <w:tab w:val="num" w:pos="3666"/>
        </w:tabs>
        <w:suppressAutoHyphens/>
        <w:ind w:left="3666" w:hanging="360"/>
      </w:pPr>
      <w:rPr>
        <w:rFonts w:ascii="Wingdings" w:hAnsi="Wingdings" w:hint="default"/>
        <w:sz w:val="24"/>
      </w:rPr>
    </w:lvl>
    <w:lvl w:ilvl="6">
      <w:numFmt w:val="bullet"/>
      <w:lvlText w:val=""/>
      <w:lvlJc w:val="left"/>
      <w:pPr>
        <w:tabs>
          <w:tab w:val="num" w:pos="4386"/>
        </w:tabs>
        <w:suppressAutoHyphens/>
        <w:ind w:left="4386" w:hanging="360"/>
      </w:pPr>
      <w:rPr>
        <w:rFonts w:ascii="Symbol" w:hAnsi="Symbol" w:hint="default"/>
        <w:sz w:val="24"/>
      </w:rPr>
    </w:lvl>
    <w:lvl w:ilvl="7">
      <w:numFmt w:val="bullet"/>
      <w:lvlText w:val="o"/>
      <w:lvlJc w:val="left"/>
      <w:pPr>
        <w:tabs>
          <w:tab w:val="num" w:pos="5106"/>
        </w:tabs>
        <w:suppressAutoHyphens/>
        <w:ind w:left="5106" w:hanging="360"/>
      </w:pPr>
      <w:rPr>
        <w:rFonts w:ascii="Courier New" w:hAnsi="Courier New" w:cs="Courier New" w:hint="default"/>
        <w:sz w:val="24"/>
      </w:rPr>
    </w:lvl>
    <w:lvl w:ilvl="8">
      <w:numFmt w:val="bullet"/>
      <w:lvlText w:val=""/>
      <w:lvlJc w:val="left"/>
      <w:pPr>
        <w:tabs>
          <w:tab w:val="num" w:pos="5826"/>
        </w:tabs>
        <w:suppressAutoHyphens/>
        <w:ind w:left="5826" w:hanging="360"/>
      </w:pPr>
      <w:rPr>
        <w:rFonts w:ascii="Wingdings" w:hAnsi="Wingdings" w:hint="default"/>
        <w:sz w:val="24"/>
      </w:rPr>
    </w:lvl>
  </w:abstractNum>
  <w:abstractNum w:abstractNumId="10" w15:restartNumberingAfterBreak="0">
    <w:nsid w:val="52750754"/>
    <w:multiLevelType w:val="singleLevel"/>
    <w:tmpl w:val="E5E4E530"/>
    <w:lvl w:ilvl="0">
      <w:start w:val="1"/>
      <w:numFmt w:val="bullet"/>
      <w:pStyle w:val="PUC3"/>
      <w:lvlText w:val=""/>
      <w:lvlJc w:val="left"/>
      <w:pPr>
        <w:tabs>
          <w:tab w:val="num" w:pos="1494"/>
        </w:tabs>
        <w:ind w:left="851" w:firstLine="283"/>
      </w:pPr>
      <w:rPr>
        <w:rFonts w:ascii="Symbol" w:hAnsi="Symbol" w:cs="Times New Roman" w:hint="default"/>
        <w:color w:val="auto"/>
        <w:sz w:val="14"/>
        <w:szCs w:val="14"/>
      </w:rPr>
    </w:lvl>
  </w:abstractNum>
  <w:abstractNum w:abstractNumId="11" w15:restartNumberingAfterBreak="0">
    <w:nsid w:val="548829EC"/>
    <w:multiLevelType w:val="singleLevel"/>
    <w:tmpl w:val="DEE80A12"/>
    <w:lvl w:ilvl="0">
      <w:start w:val="3"/>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5C6604B4"/>
    <w:multiLevelType w:val="multilevel"/>
    <w:tmpl w:val="8D4C0676"/>
    <w:lvl w:ilvl="0">
      <w:numFmt w:val="bullet"/>
      <w:lvlText w:val=""/>
      <w:lvlJc w:val="left"/>
      <w:pPr>
        <w:tabs>
          <w:tab w:val="num" w:pos="786"/>
        </w:tabs>
        <w:suppressAutoHyphens/>
        <w:ind w:left="786" w:hanging="360"/>
      </w:pPr>
      <w:rPr>
        <w:rFonts w:ascii="Symbol" w:hAnsi="Symbol" w:hint="default"/>
        <w:sz w:val="22"/>
        <w:szCs w:val="22"/>
      </w:rPr>
    </w:lvl>
    <w:lvl w:ilvl="1">
      <w:start w:val="1"/>
      <w:numFmt w:val="decimal"/>
      <w:lvlText w:val="%2."/>
      <w:lvlJc w:val="left"/>
      <w:pPr>
        <w:tabs>
          <w:tab w:val="num" w:pos="786"/>
        </w:tabs>
        <w:suppressAutoHyphens/>
        <w:ind w:left="786" w:hanging="360"/>
      </w:pPr>
      <w:rPr>
        <w:color w:val="auto"/>
      </w:rPr>
    </w:lvl>
    <w:lvl w:ilvl="2">
      <w:numFmt w:val="bullet"/>
      <w:lvlText w:val=""/>
      <w:lvlJc w:val="left"/>
      <w:pPr>
        <w:tabs>
          <w:tab w:val="num" w:pos="1506"/>
        </w:tabs>
        <w:suppressAutoHyphens/>
        <w:ind w:left="1506" w:hanging="360"/>
      </w:pPr>
      <w:rPr>
        <w:rFonts w:ascii="Wingdings" w:hAnsi="Wingdings" w:hint="default"/>
        <w:sz w:val="24"/>
      </w:rPr>
    </w:lvl>
    <w:lvl w:ilvl="3">
      <w:numFmt w:val="bullet"/>
      <w:lvlText w:val=""/>
      <w:lvlJc w:val="left"/>
      <w:pPr>
        <w:tabs>
          <w:tab w:val="num" w:pos="2226"/>
        </w:tabs>
        <w:suppressAutoHyphens/>
        <w:ind w:left="2226" w:hanging="360"/>
      </w:pPr>
      <w:rPr>
        <w:rFonts w:ascii="Symbol" w:hAnsi="Symbol" w:hint="default"/>
        <w:sz w:val="24"/>
      </w:rPr>
    </w:lvl>
    <w:lvl w:ilvl="4">
      <w:numFmt w:val="bullet"/>
      <w:lvlText w:val="o"/>
      <w:lvlJc w:val="left"/>
      <w:pPr>
        <w:tabs>
          <w:tab w:val="num" w:pos="2946"/>
        </w:tabs>
        <w:suppressAutoHyphens/>
        <w:ind w:left="2946" w:hanging="360"/>
      </w:pPr>
      <w:rPr>
        <w:rFonts w:ascii="Courier New" w:hAnsi="Courier New" w:cs="Courier New" w:hint="default"/>
        <w:sz w:val="24"/>
      </w:rPr>
    </w:lvl>
    <w:lvl w:ilvl="5">
      <w:numFmt w:val="bullet"/>
      <w:lvlText w:val=""/>
      <w:lvlJc w:val="left"/>
      <w:pPr>
        <w:tabs>
          <w:tab w:val="num" w:pos="3666"/>
        </w:tabs>
        <w:suppressAutoHyphens/>
        <w:ind w:left="3666" w:hanging="360"/>
      </w:pPr>
      <w:rPr>
        <w:rFonts w:ascii="Wingdings" w:hAnsi="Wingdings" w:hint="default"/>
        <w:sz w:val="24"/>
      </w:rPr>
    </w:lvl>
    <w:lvl w:ilvl="6">
      <w:numFmt w:val="bullet"/>
      <w:lvlText w:val=""/>
      <w:lvlJc w:val="left"/>
      <w:pPr>
        <w:tabs>
          <w:tab w:val="num" w:pos="4386"/>
        </w:tabs>
        <w:suppressAutoHyphens/>
        <w:ind w:left="4386" w:hanging="360"/>
      </w:pPr>
      <w:rPr>
        <w:rFonts w:ascii="Symbol" w:hAnsi="Symbol" w:hint="default"/>
        <w:sz w:val="24"/>
      </w:rPr>
    </w:lvl>
    <w:lvl w:ilvl="7">
      <w:numFmt w:val="bullet"/>
      <w:lvlText w:val="o"/>
      <w:lvlJc w:val="left"/>
      <w:pPr>
        <w:tabs>
          <w:tab w:val="num" w:pos="5106"/>
        </w:tabs>
        <w:suppressAutoHyphens/>
        <w:ind w:left="5106" w:hanging="360"/>
      </w:pPr>
      <w:rPr>
        <w:rFonts w:ascii="Courier New" w:hAnsi="Courier New" w:cs="Courier New" w:hint="default"/>
        <w:sz w:val="24"/>
      </w:rPr>
    </w:lvl>
    <w:lvl w:ilvl="8">
      <w:numFmt w:val="bullet"/>
      <w:lvlText w:val=""/>
      <w:lvlJc w:val="left"/>
      <w:pPr>
        <w:tabs>
          <w:tab w:val="num" w:pos="5826"/>
        </w:tabs>
        <w:suppressAutoHyphens/>
        <w:ind w:left="5826" w:hanging="360"/>
      </w:pPr>
      <w:rPr>
        <w:rFonts w:ascii="Wingdings" w:hAnsi="Wingdings" w:hint="default"/>
        <w:sz w:val="24"/>
      </w:rPr>
    </w:lvl>
  </w:abstractNum>
  <w:abstractNum w:abstractNumId="13" w15:restartNumberingAfterBreak="0">
    <w:nsid w:val="5F644590"/>
    <w:multiLevelType w:val="multilevel"/>
    <w:tmpl w:val="C1EE4BA4"/>
    <w:lvl w:ilvl="0">
      <w:numFmt w:val="bullet"/>
      <w:lvlText w:val=""/>
      <w:lvlJc w:val="left"/>
      <w:pPr>
        <w:tabs>
          <w:tab w:val="num" w:pos="786"/>
        </w:tabs>
        <w:suppressAutoHyphens/>
        <w:ind w:left="786" w:hanging="360"/>
      </w:pPr>
      <w:rPr>
        <w:rFonts w:ascii="Symbol" w:hAnsi="Symbol" w:hint="default"/>
        <w:sz w:val="24"/>
      </w:rPr>
    </w:lvl>
    <w:lvl w:ilvl="1">
      <w:start w:val="1"/>
      <w:numFmt w:val="decimal"/>
      <w:lvlText w:val="%2."/>
      <w:lvlJc w:val="left"/>
      <w:pPr>
        <w:tabs>
          <w:tab w:val="num" w:pos="786"/>
        </w:tabs>
        <w:suppressAutoHyphens/>
        <w:ind w:left="786" w:hanging="360"/>
      </w:pPr>
      <w:rPr>
        <w:color w:val="auto"/>
      </w:rPr>
    </w:lvl>
    <w:lvl w:ilvl="2">
      <w:numFmt w:val="bullet"/>
      <w:lvlText w:val=""/>
      <w:lvlJc w:val="left"/>
      <w:pPr>
        <w:tabs>
          <w:tab w:val="num" w:pos="1506"/>
        </w:tabs>
        <w:suppressAutoHyphens/>
        <w:ind w:left="1506" w:hanging="360"/>
      </w:pPr>
      <w:rPr>
        <w:rFonts w:ascii="Wingdings" w:hAnsi="Wingdings" w:hint="default"/>
        <w:sz w:val="24"/>
      </w:rPr>
    </w:lvl>
    <w:lvl w:ilvl="3">
      <w:numFmt w:val="bullet"/>
      <w:lvlText w:val=""/>
      <w:lvlJc w:val="left"/>
      <w:pPr>
        <w:tabs>
          <w:tab w:val="num" w:pos="2226"/>
        </w:tabs>
        <w:suppressAutoHyphens/>
        <w:ind w:left="2226" w:hanging="360"/>
      </w:pPr>
      <w:rPr>
        <w:rFonts w:ascii="Symbol" w:hAnsi="Symbol" w:hint="default"/>
        <w:sz w:val="24"/>
      </w:rPr>
    </w:lvl>
    <w:lvl w:ilvl="4">
      <w:numFmt w:val="bullet"/>
      <w:lvlText w:val="o"/>
      <w:lvlJc w:val="left"/>
      <w:pPr>
        <w:tabs>
          <w:tab w:val="num" w:pos="2946"/>
        </w:tabs>
        <w:suppressAutoHyphens/>
        <w:ind w:left="2946" w:hanging="360"/>
      </w:pPr>
      <w:rPr>
        <w:rFonts w:ascii="Courier New" w:hAnsi="Courier New" w:cs="Courier New" w:hint="default"/>
        <w:sz w:val="24"/>
      </w:rPr>
    </w:lvl>
    <w:lvl w:ilvl="5">
      <w:numFmt w:val="bullet"/>
      <w:lvlText w:val=""/>
      <w:lvlJc w:val="left"/>
      <w:pPr>
        <w:tabs>
          <w:tab w:val="num" w:pos="3666"/>
        </w:tabs>
        <w:suppressAutoHyphens/>
        <w:ind w:left="3666" w:hanging="360"/>
      </w:pPr>
      <w:rPr>
        <w:rFonts w:ascii="Wingdings" w:hAnsi="Wingdings" w:hint="default"/>
        <w:sz w:val="24"/>
      </w:rPr>
    </w:lvl>
    <w:lvl w:ilvl="6">
      <w:numFmt w:val="bullet"/>
      <w:lvlText w:val=""/>
      <w:lvlJc w:val="left"/>
      <w:pPr>
        <w:tabs>
          <w:tab w:val="num" w:pos="4386"/>
        </w:tabs>
        <w:suppressAutoHyphens/>
        <w:ind w:left="4386" w:hanging="360"/>
      </w:pPr>
      <w:rPr>
        <w:rFonts w:ascii="Symbol" w:hAnsi="Symbol" w:hint="default"/>
        <w:sz w:val="24"/>
      </w:rPr>
    </w:lvl>
    <w:lvl w:ilvl="7">
      <w:numFmt w:val="bullet"/>
      <w:lvlText w:val="o"/>
      <w:lvlJc w:val="left"/>
      <w:pPr>
        <w:tabs>
          <w:tab w:val="num" w:pos="5106"/>
        </w:tabs>
        <w:suppressAutoHyphens/>
        <w:ind w:left="5106" w:hanging="360"/>
      </w:pPr>
      <w:rPr>
        <w:rFonts w:ascii="Courier New" w:hAnsi="Courier New" w:cs="Courier New" w:hint="default"/>
        <w:sz w:val="24"/>
      </w:rPr>
    </w:lvl>
    <w:lvl w:ilvl="8">
      <w:numFmt w:val="bullet"/>
      <w:lvlText w:val=""/>
      <w:lvlJc w:val="left"/>
      <w:pPr>
        <w:tabs>
          <w:tab w:val="num" w:pos="5826"/>
        </w:tabs>
        <w:suppressAutoHyphens/>
        <w:ind w:left="5826" w:hanging="360"/>
      </w:pPr>
      <w:rPr>
        <w:rFonts w:ascii="Wingdings" w:hAnsi="Wingdings" w:hint="default"/>
        <w:sz w:val="24"/>
      </w:rPr>
    </w:lvl>
  </w:abstractNum>
  <w:abstractNum w:abstractNumId="14" w15:restartNumberingAfterBreak="0">
    <w:nsid w:val="63A163B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715536E"/>
    <w:multiLevelType w:val="hybridMultilevel"/>
    <w:tmpl w:val="E8905ABE"/>
    <w:lvl w:ilvl="0" w:tplc="244CFE2A">
      <w:numFmt w:val="bullet"/>
      <w:lvlText w:val=""/>
      <w:lvlJc w:val="left"/>
      <w:pPr>
        <w:ind w:left="786" w:hanging="360"/>
      </w:pPr>
      <w:rPr>
        <w:rFonts w:ascii="Symbol" w:hAnsi="Symbol" w:cs="Times New Roman" w:hint="default"/>
        <w:sz w:val="22"/>
        <w:szCs w:val="18"/>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16" w15:restartNumberingAfterBreak="0">
    <w:nsid w:val="678E0CD4"/>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16"/>
  </w:num>
  <w:num w:numId="3">
    <w:abstractNumId w:val="14"/>
  </w:num>
  <w:num w:numId="4">
    <w:abstractNumId w:val="3"/>
  </w:num>
  <w:num w:numId="5">
    <w:abstractNumId w:val="11"/>
  </w:num>
  <w:num w:numId="6">
    <w:abstractNumId w:val="4"/>
  </w:num>
  <w:num w:numId="7">
    <w:abstractNumId w:val="7"/>
  </w:num>
  <w:num w:numId="8">
    <w:abstractNumId w:val="1"/>
  </w:num>
  <w:num w:numId="9">
    <w:abstractNumId w:val="10"/>
  </w:num>
  <w:num w:numId="10">
    <w:abstractNumId w:val="9"/>
  </w:num>
  <w:num w:numId="11">
    <w:abstractNumId w:val="12"/>
  </w:num>
  <w:num w:numId="12">
    <w:abstractNumId w:val="6"/>
  </w:num>
  <w:num w:numId="13">
    <w:abstractNumId w:val="2"/>
  </w:num>
  <w:num w:numId="14">
    <w:abstractNumId w:val="13"/>
  </w:num>
  <w:num w:numId="15">
    <w:abstractNumId w:val="15"/>
  </w:num>
  <w:num w:numId="16">
    <w:abstractNumId w:val="0"/>
    <w:lvlOverride w:ilvl="0">
      <w:lvl w:ilvl="0">
        <w:start w:val="1"/>
        <w:numFmt w:val="bullet"/>
        <w:lvlText w:val=""/>
        <w:legacy w:legacy="1" w:legacySpace="0" w:legacyIndent="283"/>
        <w:lvlJc w:val="left"/>
        <w:pPr>
          <w:ind w:left="709" w:hanging="283"/>
        </w:pPr>
        <w:rPr>
          <w:rFonts w:ascii="Symbol" w:hAnsi="Symbol" w:hint="default"/>
        </w:rPr>
      </w:lvl>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262E9CE-EA06-4E21-9564-0D4829AC5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paragraph" w:styleId="Titre1">
    <w:name w:val="heading 1"/>
    <w:basedOn w:val="Normal"/>
    <w:next w:val="Normal"/>
    <w:qFormat/>
    <w:pPr>
      <w:keepNext/>
      <w:outlineLvl w:val="0"/>
    </w:pPr>
    <w:rPr>
      <w:sz w:val="24"/>
      <w:lang w:eastAsia="en-US"/>
    </w:rPr>
  </w:style>
  <w:style w:type="paragraph" w:styleId="Titre2">
    <w:name w:val="heading 2"/>
    <w:basedOn w:val="Normal"/>
    <w:next w:val="Normal"/>
    <w:qFormat/>
    <w:pPr>
      <w:keepNext/>
      <w:outlineLvl w:val="1"/>
    </w:pPr>
    <w:rPr>
      <w:b/>
      <w:sz w:val="24"/>
      <w:lang w:eastAsia="en-US"/>
    </w:rPr>
  </w:style>
  <w:style w:type="paragraph" w:styleId="Titre3">
    <w:name w:val="heading 3"/>
    <w:basedOn w:val="Normal"/>
    <w:next w:val="Normal"/>
    <w:qFormat/>
    <w:pPr>
      <w:keepNext/>
      <w:outlineLvl w:val="2"/>
    </w:pPr>
    <w:rPr>
      <w:i/>
      <w:sz w:val="24"/>
      <w:lang w:eastAsia="en-US"/>
    </w:rPr>
  </w:style>
  <w:style w:type="paragraph" w:styleId="Titre4">
    <w:name w:val="heading 4"/>
    <w:basedOn w:val="Normal"/>
    <w:next w:val="Normal"/>
    <w:qFormat/>
    <w:pPr>
      <w:keepNext/>
      <w:widowControl w:val="0"/>
      <w:outlineLvl w:val="3"/>
    </w:pPr>
    <w:rPr>
      <w:b/>
      <w:sz w:val="24"/>
      <w:u w:val="single"/>
      <w:lang w:eastAsia="en-US"/>
    </w:rPr>
  </w:style>
  <w:style w:type="paragraph" w:styleId="Titre5">
    <w:name w:val="heading 5"/>
    <w:basedOn w:val="Normal"/>
    <w:next w:val="Normal"/>
    <w:qFormat/>
    <w:pPr>
      <w:keepNext/>
      <w:ind w:firstLine="360"/>
      <w:outlineLvl w:val="4"/>
    </w:pPr>
    <w:rPr>
      <w:sz w:val="24"/>
      <w:lang w:eastAsia="en-US"/>
    </w:rPr>
  </w:style>
  <w:style w:type="paragraph" w:styleId="Titre6">
    <w:name w:val="heading 6"/>
    <w:basedOn w:val="Normal"/>
    <w:next w:val="Normal"/>
    <w:qFormat/>
    <w:pPr>
      <w:keepNext/>
      <w:outlineLvl w:val="5"/>
    </w:pPr>
    <w:rPr>
      <w:rFonts w:ascii="Arial" w:hAnsi="Arial"/>
      <w:b/>
      <w:sz w:val="18"/>
    </w:rPr>
  </w:style>
  <w:style w:type="paragraph" w:styleId="Titre7">
    <w:name w:val="heading 7"/>
    <w:basedOn w:val="Normal"/>
    <w:next w:val="Normal"/>
    <w:qFormat/>
    <w:pPr>
      <w:keepNext/>
      <w:outlineLvl w:val="6"/>
    </w:pPr>
    <w:rPr>
      <w:i/>
      <w:lang w:eastAsia="en-US"/>
    </w:rPr>
  </w:style>
  <w:style w:type="paragraph" w:styleId="Titre8">
    <w:name w:val="heading 8"/>
    <w:basedOn w:val="Normal"/>
    <w:next w:val="Normal"/>
    <w:qFormat/>
    <w:pPr>
      <w:keepNext/>
      <w:outlineLvl w:val="7"/>
    </w:pPr>
    <w:rPr>
      <w:rFonts w:ascii="Arial" w:hAnsi="Arial"/>
      <w:b/>
      <w:lang w:eastAsia="en-US"/>
    </w:rPr>
  </w:style>
  <w:style w:type="paragraph" w:styleId="Titre9">
    <w:name w:val="heading 9"/>
    <w:basedOn w:val="Normal"/>
    <w:next w:val="Normal"/>
    <w:qFormat/>
    <w:pPr>
      <w:keepNext/>
      <w:jc w:val="center"/>
      <w:outlineLvl w:val="8"/>
    </w:pPr>
    <w:rPr>
      <w:rFonts w:ascii="Arial" w:hAnsi="Arial"/>
      <w:b/>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vertAlign w:val="superscript"/>
    </w:rPr>
  </w:style>
  <w:style w:type="paragraph" w:styleId="Corpsdetexte3">
    <w:name w:val="Body Text 3"/>
    <w:basedOn w:val="Normal"/>
    <w:rPr>
      <w:b/>
      <w:sz w:val="24"/>
      <w:lang w:eastAsia="en-US"/>
    </w:rPr>
  </w:style>
  <w:style w:type="paragraph" w:styleId="Retraitcorpsdetexte">
    <w:name w:val="Body Text Indent"/>
    <w:basedOn w:val="Normal"/>
    <w:rPr>
      <w:sz w:val="24"/>
      <w:lang w:eastAsia="en-US"/>
    </w:rPr>
  </w:style>
  <w:style w:type="paragraph" w:styleId="Corpsdetexte">
    <w:name w:val="Body Text"/>
    <w:basedOn w:val="Normal"/>
    <w:pPr>
      <w:jc w:val="center"/>
    </w:pPr>
    <w:rPr>
      <w:b/>
      <w:sz w:val="36"/>
      <w:lang w:eastAsia="en-US"/>
    </w:rPr>
  </w:style>
  <w:style w:type="paragraph" w:styleId="Notedebasdepage">
    <w:name w:val="footnote text"/>
    <w:basedOn w:val="Normal"/>
    <w:link w:val="NotedebasdepageCar"/>
    <w:semiHidden/>
    <w:rPr>
      <w:lang w:eastAsia="en-US"/>
    </w:rPr>
  </w:style>
  <w:style w:type="paragraph" w:styleId="Pieddepage">
    <w:name w:val="footer"/>
    <w:basedOn w:val="Normal"/>
    <w:pPr>
      <w:tabs>
        <w:tab w:val="center" w:pos="4153"/>
        <w:tab w:val="right" w:pos="8306"/>
      </w:tabs>
    </w:pPr>
    <w:rPr>
      <w:lang w:eastAsia="en-US"/>
    </w:rPr>
  </w:style>
  <w:style w:type="paragraph" w:styleId="Corpsdetexte2">
    <w:name w:val="Body Text 2"/>
    <w:basedOn w:val="Normal"/>
    <w:pPr>
      <w:spacing w:after="120"/>
      <w:jc w:val="both"/>
    </w:pPr>
    <w:rPr>
      <w:b/>
      <w:sz w:val="24"/>
      <w:lang w:eastAsia="en-US"/>
    </w:rPr>
  </w:style>
  <w:style w:type="character" w:styleId="Lienhypertexte">
    <w:name w:val="Hyperlink"/>
    <w:rPr>
      <w:color w:val="0000FF"/>
      <w:u w:val="single"/>
    </w:rPr>
  </w:style>
  <w:style w:type="paragraph" w:styleId="Explorateurdedocuments">
    <w:name w:val="Document Map"/>
    <w:basedOn w:val="Normal"/>
    <w:semiHidden/>
    <w:pPr>
      <w:shd w:val="clear" w:color="auto" w:fill="000080"/>
    </w:pPr>
    <w:rPr>
      <w:rFonts w:ascii="Tahoma" w:hAnsi="Tahoma"/>
      <w:lang w:eastAsia="en-US"/>
    </w:rPr>
  </w:style>
  <w:style w:type="paragraph" w:styleId="En-tte">
    <w:name w:val="header"/>
    <w:basedOn w:val="Normal"/>
    <w:pPr>
      <w:tabs>
        <w:tab w:val="center" w:pos="4320"/>
        <w:tab w:val="right" w:pos="8640"/>
      </w:tabs>
    </w:pPr>
    <w:rPr>
      <w:lang w:eastAsia="en-US"/>
    </w:rPr>
  </w:style>
  <w:style w:type="character" w:styleId="Numrodepage">
    <w:name w:val="page number"/>
    <w:basedOn w:val="Policepardfaut"/>
  </w:style>
  <w:style w:type="paragraph" w:styleId="Retraitcorpsdetexte2">
    <w:name w:val="Body Text Indent 2"/>
    <w:basedOn w:val="Normal"/>
    <w:pPr>
      <w:ind w:left="284"/>
      <w:jc w:val="both"/>
    </w:pPr>
    <w:rPr>
      <w:i/>
      <w:sz w:val="24"/>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basedOn w:val="Policepardfaut"/>
    <w:link w:val="Textedebulles"/>
    <w:rPr>
      <w:rFonts w:ascii="Tahoma" w:hAnsi="Tahoma" w:cs="Tahoma"/>
      <w:sz w:val="16"/>
      <w:szCs w:val="16"/>
      <w:lang w:val="en-GB" w:eastAsia="en-GB"/>
    </w:rPr>
  </w:style>
  <w:style w:type="paragraph" w:customStyle="1" w:styleId="PUC3">
    <w:name w:val="PUC3"/>
    <w:basedOn w:val="Normal"/>
    <w:autoRedefine/>
    <w:pPr>
      <w:numPr>
        <w:numId w:val="9"/>
      </w:numPr>
      <w:tabs>
        <w:tab w:val="clear" w:pos="1494"/>
        <w:tab w:val="decimal" w:pos="1701"/>
      </w:tabs>
      <w:autoSpaceDE w:val="0"/>
      <w:autoSpaceDN w:val="0"/>
      <w:ind w:left="1701" w:hanging="283"/>
      <w:jc w:val="both"/>
    </w:pPr>
    <w:rPr>
      <w:sz w:val="22"/>
      <w:szCs w:val="22"/>
      <w:lang w:val="fr-FR" w:eastAsia="fr-FR"/>
    </w:rPr>
  </w:style>
  <w:style w:type="paragraph" w:customStyle="1" w:styleId="PUC2">
    <w:name w:val="PUC2"/>
    <w:basedOn w:val="Normal"/>
    <w:pPr>
      <w:numPr>
        <w:numId w:val="13"/>
      </w:numPr>
      <w:autoSpaceDE w:val="0"/>
      <w:autoSpaceDN w:val="0"/>
    </w:pPr>
    <w:rPr>
      <w:sz w:val="22"/>
      <w:szCs w:val="22"/>
      <w:lang w:val="fr-FR" w:eastAsia="fr-FR"/>
    </w:rPr>
  </w:style>
  <w:style w:type="paragraph" w:styleId="Paragraphedeliste">
    <w:name w:val="List Paragraph"/>
    <w:basedOn w:val="Normal"/>
    <w:uiPriority w:val="34"/>
    <w:qFormat/>
    <w:pPr>
      <w:ind w:left="720"/>
      <w:contextualSpacing/>
    </w:pPr>
  </w:style>
  <w:style w:type="character" w:customStyle="1" w:styleId="NotedebasdepageCar">
    <w:name w:val="Note de bas de page Car"/>
    <w:link w:val="Notedebasdepage"/>
    <w:semiHidden/>
    <w:rPr>
      <w:lang w:val="en-GB" w:eastAsia="en-US"/>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446353">
      <w:bodyDiv w:val="1"/>
      <w:marLeft w:val="0"/>
      <w:marRight w:val="0"/>
      <w:marTop w:val="0"/>
      <w:marBottom w:val="0"/>
      <w:divBdr>
        <w:top w:val="none" w:sz="0" w:space="0" w:color="auto"/>
        <w:left w:val="none" w:sz="0" w:space="0" w:color="auto"/>
        <w:bottom w:val="none" w:sz="0" w:space="0" w:color="auto"/>
        <w:right w:val="none" w:sz="0" w:space="0" w:color="auto"/>
      </w:divBdr>
    </w:div>
    <w:div w:id="132042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cid:image001.jpg@01CCBB3C.E77BBDA0" TargetMode="External"/><Relationship Id="rId17" Type="http://schemas.openxmlformats.org/officeDocument/2006/relationships/hyperlink" Target="http://www.enseignement.be/index.php?page=27151" TargetMode="External"/><Relationship Id="rId2" Type="http://schemas.openxmlformats.org/officeDocument/2006/relationships/numbering" Target="numbering.xml"/><Relationship Id="rId16" Type="http://schemas.openxmlformats.org/officeDocument/2006/relationships/hyperlink" Target="http://europass.cedefop.europa.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enseignement.be/"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federation-wallonie-bruxelles.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8138D-46FA-4F46-BC16-42ADA8545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1013</Words>
  <Characters>5576</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Certificate_Supplement_Europass_EN</vt:lpstr>
      <vt:lpstr>Certificate_Supplement_Europass_EN</vt:lpstr>
    </vt:vector>
  </TitlesOfParts>
  <Company>Cedefop</Company>
  <LinksUpToDate>false</LinksUpToDate>
  <CharactersWithSpaces>6576</CharactersWithSpaces>
  <SharedDoc>false</SharedDoc>
  <HLinks>
    <vt:vector size="36" baseType="variant">
      <vt:variant>
        <vt:i4>3080304</vt:i4>
      </vt:variant>
      <vt:variant>
        <vt:i4>18</vt:i4>
      </vt:variant>
      <vt:variant>
        <vt:i4>0</vt:i4>
      </vt:variant>
      <vt:variant>
        <vt:i4>5</vt:i4>
      </vt:variant>
      <vt:variant>
        <vt:lpwstr>http://www.enseignement.be/index.php?page=27151</vt:lpwstr>
      </vt:variant>
      <vt:variant>
        <vt:lpwstr/>
      </vt:variant>
      <vt:variant>
        <vt:i4>6357036</vt:i4>
      </vt:variant>
      <vt:variant>
        <vt:i4>15</vt:i4>
      </vt:variant>
      <vt:variant>
        <vt:i4>0</vt:i4>
      </vt:variant>
      <vt:variant>
        <vt:i4>5</vt:i4>
      </vt:variant>
      <vt:variant>
        <vt:lpwstr>http://europass.cedefop.europa.eu/</vt:lpwstr>
      </vt:variant>
      <vt:variant>
        <vt:lpwstr/>
      </vt:variant>
      <vt:variant>
        <vt:i4>5373976</vt:i4>
      </vt:variant>
      <vt:variant>
        <vt:i4>12</vt:i4>
      </vt:variant>
      <vt:variant>
        <vt:i4>0</vt:i4>
      </vt:variant>
      <vt:variant>
        <vt:i4>5</vt:i4>
      </vt:variant>
      <vt:variant>
        <vt:lpwstr>http://www.sfmq.cfwb.be/</vt:lpwstr>
      </vt:variant>
      <vt:variant>
        <vt:lpwstr/>
      </vt:variant>
      <vt:variant>
        <vt:i4>7471146</vt:i4>
      </vt:variant>
      <vt:variant>
        <vt:i4>9</vt:i4>
      </vt:variant>
      <vt:variant>
        <vt:i4>0</vt:i4>
      </vt:variant>
      <vt:variant>
        <vt:i4>5</vt:i4>
      </vt:variant>
      <vt:variant>
        <vt:lpwstr>http://www.enseignement.be/</vt:lpwstr>
      </vt:variant>
      <vt:variant>
        <vt:lpwstr/>
      </vt:variant>
      <vt:variant>
        <vt:i4>4915278</vt:i4>
      </vt:variant>
      <vt:variant>
        <vt:i4>6</vt:i4>
      </vt:variant>
      <vt:variant>
        <vt:i4>0</vt:i4>
      </vt:variant>
      <vt:variant>
        <vt:i4>5</vt:i4>
      </vt:variant>
      <vt:variant>
        <vt:lpwstr>http://www.federation-wallonie-bruxelles.be/</vt:lpwstr>
      </vt:variant>
      <vt:variant>
        <vt:lpwstr/>
      </vt:variant>
      <vt:variant>
        <vt:i4>7864390</vt:i4>
      </vt:variant>
      <vt:variant>
        <vt:i4>2200</vt:i4>
      </vt:variant>
      <vt:variant>
        <vt:i4>1026</vt:i4>
      </vt:variant>
      <vt:variant>
        <vt:i4>1</vt:i4>
      </vt:variant>
      <vt:variant>
        <vt:lpwstr>cid:image001.jpg@01CCBB3C.E77BBDA0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Certificate_Supplement_Europass_EN</dc:title>
  <dc:creator>Philippe Tissot</dc:creator>
  <cp:lastModifiedBy>LEEGTE Pascale</cp:lastModifiedBy>
  <cp:revision>9</cp:revision>
  <cp:lastPrinted>2016-09-06T13:25:00Z</cp:lastPrinted>
  <dcterms:created xsi:type="dcterms:W3CDTF">2016-12-16T06:44:00Z</dcterms:created>
  <dcterms:modified xsi:type="dcterms:W3CDTF">2016-12-22T18:37:00Z</dcterms:modified>
</cp:coreProperties>
</file>